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47" w:rsidRPr="00E127E6" w:rsidRDefault="00E83647" w:rsidP="00E83647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E83647" w:rsidRPr="00E127E6" w:rsidRDefault="00E83647" w:rsidP="00E83647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E83647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E83647" w:rsidRPr="00DE64F4" w:rsidRDefault="00211878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P.2.MW-ChUM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E83647" w:rsidRPr="002B4852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Choroby układu moczowo-płciowego w różnych grupach wiekowych oraz dializoterapia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E83647" w:rsidRPr="0036246E" w:rsidRDefault="0036246E" w:rsidP="0036246E">
            <w:pPr>
              <w:pStyle w:val="HTML-wstpniesformatowany"/>
              <w:rPr>
                <w:rFonts w:ascii="Verdana" w:hAnsi="Verdana"/>
                <w:sz w:val="16"/>
                <w:szCs w:val="16"/>
              </w:rPr>
            </w:pPr>
            <w:r w:rsidRPr="0036246E">
              <w:rPr>
                <w:rFonts w:ascii="Verdana" w:hAnsi="Verdana"/>
                <w:sz w:val="16"/>
                <w:szCs w:val="16"/>
              </w:rPr>
              <w:t>Diseases of the genitourinary system in various age groups and dialysis therapy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3647" w:rsidRPr="00390A84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647" w:rsidRPr="00390A84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647" w:rsidRPr="00390A84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647" w:rsidRPr="0034645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0916AD"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647" w:rsidRPr="00390A84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83647" w:rsidRPr="00390A84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83647" w:rsidRPr="000916AD" w:rsidRDefault="00E83647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E83647" w:rsidRPr="00E127E6" w:rsidTr="008F295B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E83647" w:rsidRPr="00111943" w:rsidRDefault="008F295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dr n. med. Tomasz Suchojad</w:t>
            </w:r>
          </w:p>
        </w:tc>
      </w:tr>
      <w:tr w:rsidR="00E83647" w:rsidRPr="00E127E6" w:rsidTr="008F295B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FFFFFF" w:themeFill="background1"/>
            <w:vAlign w:val="center"/>
          </w:tcPr>
          <w:p w:rsidR="00E83647" w:rsidRPr="0000576E" w:rsidRDefault="008F295B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sz w:val="22"/>
                <w:szCs w:val="22"/>
              </w:rPr>
              <w:t>dr n. med. Tomasz Suchojad</w:t>
            </w:r>
          </w:p>
        </w:tc>
      </w:tr>
    </w:tbl>
    <w:p w:rsidR="00E83647" w:rsidRDefault="00E83647" w:rsidP="00E83647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E83647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83647" w:rsidRPr="00756219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E83647" w:rsidRPr="000916AD" w:rsidRDefault="00E83647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E836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3647" w:rsidRPr="00756219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E83647" w:rsidRPr="00390A84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E83647" w:rsidRPr="00756219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83647" w:rsidRPr="00390A84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836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E83647" w:rsidRPr="00390A84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Do wyboru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83647" w:rsidRPr="00390A84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E83647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E83647" w:rsidRPr="000916AD" w:rsidRDefault="00E83647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Podstawy interny i pielęgniarstwa internistycznego. Podstawy anatomii i fizjologii. </w:t>
            </w:r>
          </w:p>
        </w:tc>
      </w:tr>
      <w:tr w:rsidR="00E83647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E83647" w:rsidRPr="00756219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E83647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E83647" w:rsidRPr="00FC6B87" w:rsidRDefault="00E83647" w:rsidP="00DA1581">
            <w:pPr>
              <w:jc w:val="both"/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FC6B87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Zapoznanie z podstawowymi schorzeniami układu moczowo – płciowego 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oraz z zasadami dializotera</w:t>
            </w:r>
            <w:r w:rsidRPr="00FC6B87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pii</w:t>
            </w:r>
            <w: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 xml:space="preserve">. </w:t>
            </w:r>
          </w:p>
        </w:tc>
      </w:tr>
    </w:tbl>
    <w:p w:rsidR="00E83647" w:rsidRPr="00E127E6" w:rsidRDefault="00E83647" w:rsidP="00E8364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E83647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Standardy specjalistycznej opieki pielęgniarskiej nad pacjentem w przebiegu leczenia nerko zastępczego w technikach przerywanych i technikach ciągłych (Continuous Renal Replacement Therapy, CRRT)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PIEL.2P_W57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B.W28.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funkcjonowania stacji dializ i leczenia nerko zastępczego (ciągła ambulatoryjna dializa otrzewnowa CADO, ambulatoryjna dializa otrzewnowa ADO, hemodializa, hiperalimentacja)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PIEL.2P_W58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B.W29.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Przyczyny i zasady postępowania diagnostyczno-terapeutycznego oraz opieki nad pacjentami z niewydolnością narządową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PIEL.2P_W59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B.W30.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315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W4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opieki nad pacjentem przed i po przeszczepieniu narządów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PIEL.2P_W60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B.W31.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Sprawować specjalistyczną opiekę pielęgniarską nad pacjentem w przebiegu leczenia nerko zastępczego w technikach przerywanych oraz technikach ciągłych (Continuous Renal Replacement Therapy, CRRT)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B.U31.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Planować i przeprowadzać edukacje terapeutyczną pacjenta, jego rodziny i opiekuna w zakresie samoobserwacji i samopielęgnacji podczas dializy i hemodializy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B.U32.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Planować i sprawować opiekę pielęgniarską nad pacjentem z niewydolnością narządową przed i po przeszczepieniu narządów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B.U33.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KOMPETENCJE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Zasięgać opinii ekspertów w przypadku trudności z samodzielnym rozwiązaniem problemu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K.5.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647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wykonywane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</w:tbl>
    <w:p w:rsidR="00E83647" w:rsidRPr="00E127E6" w:rsidRDefault="00E83647" w:rsidP="00E83647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E83647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3647" w:rsidRPr="00E127E6" w:rsidRDefault="00E836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E83647" w:rsidRPr="00E127E6" w:rsidRDefault="00E83647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3647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3647" w:rsidRPr="00E127E6" w:rsidRDefault="00E83647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E83647" w:rsidRDefault="00E83647" w:rsidP="00E83647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E83647" w:rsidRPr="00B300CA" w:rsidRDefault="00E83647" w:rsidP="00E83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E83647" w:rsidRDefault="00E83647" w:rsidP="00E83647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E83647" w:rsidRPr="00E127E6" w:rsidRDefault="00E83647" w:rsidP="00E83647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E83647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E83647" w:rsidRDefault="00E8364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Wykłady</w:t>
            </w:r>
          </w:p>
          <w:p w:rsidR="00E83647" w:rsidRDefault="00E83647" w:rsidP="00E83647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Patofizjologia schorzeń układu moczowo-płciowego w różnych grupach wiekowych.</w:t>
            </w:r>
          </w:p>
          <w:p w:rsidR="00E83647" w:rsidRDefault="00E83647" w:rsidP="00E83647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Diagnostyka schorzeń układu moczowo-płciowego. Badanie podmiotowe, przedmiotowe, badania obrazowe, badania laboratoryjne.</w:t>
            </w:r>
          </w:p>
          <w:p w:rsidR="00E83647" w:rsidRDefault="00E83647" w:rsidP="00E83647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Objawy charakterystyczne dla głównych zespołów klinicznych w nefrologii.</w:t>
            </w:r>
          </w:p>
          <w:p w:rsidR="00E83647" w:rsidRDefault="00E83647" w:rsidP="00E83647">
            <w:pPr>
              <w:pStyle w:val="NormalnyWeb"/>
              <w:numPr>
                <w:ilvl w:val="0"/>
                <w:numId w:val="3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Techniki nerko zastępcze: hemodializa, dializa otrzewnowa, ciągła ambulatoryjna dializa otrzewnowa (CADO), automatyczna dializa otrzewnowa (ADO). Wskazania i przeciwwskazania do leczenia nerko zastępczego.</w:t>
            </w:r>
          </w:p>
          <w:p w:rsidR="00E83647" w:rsidRDefault="00E8364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3647" w:rsidRDefault="00E8364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E83647" w:rsidRDefault="00E83647" w:rsidP="00E83647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Zasady kwalifikacji oraz przygotowanie pacjenta do leczenia nerko zastępczego.</w:t>
            </w:r>
          </w:p>
          <w:p w:rsidR="00E83647" w:rsidRDefault="00E83647" w:rsidP="00E83647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hAnsi="Verdana" w:cs="Arial"/>
                <w:sz w:val="16"/>
                <w:szCs w:val="16"/>
              </w:rPr>
            </w:pPr>
            <w:r w:rsidRPr="00307372">
              <w:rPr>
                <w:rFonts w:ascii="Verdana" w:hAnsi="Verdana" w:cs="Arial"/>
                <w:sz w:val="16"/>
                <w:szCs w:val="16"/>
              </w:rPr>
              <w:t xml:space="preserve">Zadania pielęgniarki w czasie hemodializy, dializy otrzewnowej. </w:t>
            </w:r>
          </w:p>
          <w:p w:rsidR="00E83647" w:rsidRDefault="00E83647" w:rsidP="00E83647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hAnsi="Verdana" w:cs="Arial"/>
                <w:sz w:val="16"/>
                <w:szCs w:val="16"/>
              </w:rPr>
            </w:pPr>
            <w:r w:rsidRPr="00307372">
              <w:rPr>
                <w:rFonts w:ascii="Verdana" w:hAnsi="Verdana" w:cs="Arial"/>
                <w:sz w:val="16"/>
                <w:szCs w:val="16"/>
              </w:rPr>
              <w:t xml:space="preserve">Wyposażenie stacji dializ. Dokumentacja dializacyjna. </w:t>
            </w:r>
          </w:p>
          <w:p w:rsidR="00E83647" w:rsidRPr="00307372" w:rsidRDefault="00E83647" w:rsidP="00E83647">
            <w:pPr>
              <w:pStyle w:val="NormalnyWeb"/>
              <w:numPr>
                <w:ilvl w:val="0"/>
                <w:numId w:val="4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07372">
              <w:rPr>
                <w:rFonts w:ascii="Verdana" w:hAnsi="Verdana" w:cs="Arial"/>
                <w:sz w:val="16"/>
                <w:szCs w:val="16"/>
              </w:rPr>
              <w:t>Zasady pielęgnowania chorego po zabiegu przeszczepienia nerki.</w:t>
            </w:r>
          </w:p>
          <w:p w:rsidR="00E83647" w:rsidRPr="00E127E6" w:rsidRDefault="00E83647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B.W28.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B.W29.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B.W30.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B.W31.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B.U31.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B.U32.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B.U33.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K.5.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K.6.</w:t>
            </w: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Zalecana literatura i pomoce naukowe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E83647" w:rsidRDefault="00E83647" w:rsidP="00E83647">
            <w:pPr>
              <w:pStyle w:val="Defaul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Białobrzeska B., Dębska  Ślizeń A. (red): Pielęgniarstwo nefrologiczne. PZWL, Warszawa 2013.</w:t>
            </w:r>
          </w:p>
          <w:p w:rsidR="00E83647" w:rsidRDefault="00E83647" w:rsidP="00E83647">
            <w:pPr>
              <w:pStyle w:val="Defaul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Rutkowski B.: Leczenie nerko zastępcze w praktyce pielęgniarskiej. ViaMedica, Gdańsk 2008.</w:t>
            </w:r>
          </w:p>
          <w:p w:rsidR="00E83647" w:rsidRDefault="00E836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E83647" w:rsidRDefault="00E836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uzupełniająca</w:t>
            </w:r>
          </w:p>
          <w:p w:rsidR="00E83647" w:rsidRDefault="00E83647" w:rsidP="00E83647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Czupryna A., Wilczek-Rużyczka E.: Wybrane zagadnienia pielęgniarstwa specjalistycznego. Warszawa 2010.</w:t>
            </w:r>
          </w:p>
          <w:p w:rsidR="00E83647" w:rsidRDefault="00E83647" w:rsidP="00E83647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Ziarko E.: Pacjent ze schyłkową niewydolnością nerek leczony nerko zastępczo. W: Modele opieki pielęgniarskiej nad chorym dorosłym, red. Kózka M., Płaszewska-Żywko L., PZWL Warszawa 2010.</w:t>
            </w:r>
          </w:p>
          <w:p w:rsidR="00E83647" w:rsidRDefault="00E83647" w:rsidP="00E83647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Szczeklik A., Gajewski P.: Interna Szczeklika 2020. Wyd. MP, 2020.</w:t>
            </w:r>
          </w:p>
          <w:p w:rsidR="00E83647" w:rsidRPr="00990697" w:rsidRDefault="00E83647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Pr="00D70618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3647" w:rsidRPr="00A21ECC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Pr="00D70618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E83647" w:rsidRPr="00A21ECC" w:rsidRDefault="00E83647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E83647" w:rsidRPr="00CA10D6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Pr="00443611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3647" w:rsidRPr="00443611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3647" w:rsidRPr="00443611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3647" w:rsidRPr="00443611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Pr="00443611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Pr="00E127E6" w:rsidRDefault="00E83647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E83647" w:rsidRPr="00E127E6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3647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E83647" w:rsidRPr="00443611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83647" w:rsidRDefault="00E83647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3647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3647" w:rsidRPr="00E127E6" w:rsidRDefault="00E83647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E83647" w:rsidRPr="005077D2" w:rsidRDefault="00E83647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E83647" w:rsidRDefault="00E83647" w:rsidP="00E83647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0A9" w:rsidRDefault="00A370A9" w:rsidP="00E83647">
      <w:r>
        <w:separator/>
      </w:r>
    </w:p>
  </w:endnote>
  <w:endnote w:type="continuationSeparator" w:id="1">
    <w:p w:rsidR="00A370A9" w:rsidRDefault="00A370A9" w:rsidP="00E83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8D7C90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AA229B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AA229B" w:rsidRPr="001A3E25">
      <w:rPr>
        <w:b/>
        <w:sz w:val="16"/>
      </w:rPr>
      <w:fldChar w:fldCharType="separate"/>
    </w:r>
    <w:r w:rsidR="00211878">
      <w:rPr>
        <w:b/>
        <w:noProof/>
        <w:sz w:val="16"/>
      </w:rPr>
      <w:t>4</w:t>
    </w:r>
    <w:r w:rsidR="00AA229B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AA229B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AA229B" w:rsidRPr="001A3E25">
      <w:rPr>
        <w:b/>
        <w:sz w:val="16"/>
      </w:rPr>
      <w:fldChar w:fldCharType="separate"/>
    </w:r>
    <w:r w:rsidR="00211878">
      <w:rPr>
        <w:b/>
        <w:noProof/>
        <w:sz w:val="16"/>
      </w:rPr>
      <w:t>4</w:t>
    </w:r>
    <w:r w:rsidR="00AA229B" w:rsidRPr="001A3E25">
      <w:rPr>
        <w:b/>
        <w:sz w:val="16"/>
      </w:rPr>
      <w:fldChar w:fldCharType="end"/>
    </w:r>
  </w:p>
  <w:p w:rsidR="000F6679" w:rsidRDefault="00A370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0A9" w:rsidRDefault="00A370A9" w:rsidP="00E83647">
      <w:r>
        <w:separator/>
      </w:r>
    </w:p>
  </w:footnote>
  <w:footnote w:type="continuationSeparator" w:id="1">
    <w:p w:rsidR="00A370A9" w:rsidRDefault="00A370A9" w:rsidP="00E83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8D7C90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A370A9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44DA"/>
    <w:multiLevelType w:val="hybridMultilevel"/>
    <w:tmpl w:val="7BE22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40197"/>
    <w:multiLevelType w:val="hybridMultilevel"/>
    <w:tmpl w:val="2C5E8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B0571"/>
    <w:multiLevelType w:val="hybridMultilevel"/>
    <w:tmpl w:val="D4D47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A45BB"/>
    <w:multiLevelType w:val="hybridMultilevel"/>
    <w:tmpl w:val="19507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647"/>
    <w:rsid w:val="000048F0"/>
    <w:rsid w:val="00026E6A"/>
    <w:rsid w:val="00211878"/>
    <w:rsid w:val="0036246E"/>
    <w:rsid w:val="00885900"/>
    <w:rsid w:val="008D7C90"/>
    <w:rsid w:val="008F295B"/>
    <w:rsid w:val="00A370A9"/>
    <w:rsid w:val="00AA229B"/>
    <w:rsid w:val="00AD17A7"/>
    <w:rsid w:val="00E5137E"/>
    <w:rsid w:val="00E83647"/>
    <w:rsid w:val="00F6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647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836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647"/>
  </w:style>
  <w:style w:type="paragraph" w:styleId="Stopka">
    <w:name w:val="footer"/>
    <w:basedOn w:val="Normalny"/>
    <w:link w:val="StopkaZnak"/>
    <w:uiPriority w:val="99"/>
    <w:unhideWhenUsed/>
    <w:rsid w:val="00E836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647"/>
  </w:style>
  <w:style w:type="character" w:customStyle="1" w:styleId="Nagwek1Znak">
    <w:name w:val="Nagłówek 1 Znak"/>
    <w:basedOn w:val="Domylnaczcionkaakapitu"/>
    <w:link w:val="Nagwek1"/>
    <w:rsid w:val="00E8364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E83647"/>
    <w:pPr>
      <w:spacing w:before="100" w:beforeAutospacing="1" w:after="100" w:afterAutospacing="1"/>
    </w:pPr>
  </w:style>
  <w:style w:type="paragraph" w:customStyle="1" w:styleId="Default">
    <w:name w:val="Default"/>
    <w:semiHidden/>
    <w:rsid w:val="00E836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624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6246E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1267</Words>
  <Characters>7604</Characters>
  <Application>Microsoft Office Word</Application>
  <DocSecurity>0</DocSecurity>
  <Lines>63</Lines>
  <Paragraphs>17</Paragraphs>
  <ScaleCrop>false</ScaleCrop>
  <Company/>
  <LinksUpToDate>false</LinksUpToDate>
  <CharactersWithSpaces>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3</cp:revision>
  <dcterms:created xsi:type="dcterms:W3CDTF">2021-03-20T17:49:00Z</dcterms:created>
  <dcterms:modified xsi:type="dcterms:W3CDTF">2021-03-20T17:53:00Z</dcterms:modified>
</cp:coreProperties>
</file>