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2EBD0" w14:textId="77777777" w:rsidR="0089044A" w:rsidRPr="0089044A" w:rsidRDefault="0089044A" w:rsidP="0089044A">
      <w:pPr>
        <w:pageBreakBefore/>
        <w:widowControl w:val="0"/>
        <w:tabs>
          <w:tab w:val="left" w:pos="7938"/>
        </w:tabs>
        <w:suppressAutoHyphens/>
        <w:spacing w:line="240" w:lineRule="auto"/>
        <w:jc w:val="center"/>
        <w:textAlignment w:val="baseline"/>
        <w:rPr>
          <w:rFonts w:ascii="Calibri" w:eastAsia="Calibri" w:hAnsi="Calibri" w:cs="Mangal"/>
          <w:b/>
          <w:kern w:val="1"/>
          <w:sz w:val="20"/>
          <w:szCs w:val="20"/>
          <w:lang w:bidi="hi-IN"/>
        </w:rPr>
      </w:pPr>
      <w:r w:rsidRPr="0089044A">
        <w:rPr>
          <w:rFonts w:ascii="Calibri" w:eastAsia="Calibri" w:hAnsi="Calibri" w:cs="Mangal"/>
          <w:b/>
          <w:spacing w:val="30"/>
          <w:kern w:val="1"/>
          <w:sz w:val="20"/>
          <w:szCs w:val="20"/>
          <w:lang w:bidi="hi-IN"/>
        </w:rPr>
        <w:t xml:space="preserve">SYLABUS </w:t>
      </w:r>
    </w:p>
    <w:p w14:paraId="3D7D40F6" w14:textId="77777777" w:rsidR="0089044A" w:rsidRPr="0089044A" w:rsidRDefault="0089044A" w:rsidP="0089044A">
      <w:pPr>
        <w:widowControl w:val="0"/>
        <w:suppressAutoHyphens/>
        <w:spacing w:line="240" w:lineRule="auto"/>
        <w:jc w:val="center"/>
        <w:textAlignment w:val="baseline"/>
        <w:rPr>
          <w:rFonts w:ascii="Calibri" w:eastAsia="Calibri" w:hAnsi="Calibri" w:cs="Mangal"/>
          <w:b/>
          <w:kern w:val="1"/>
          <w:sz w:val="20"/>
          <w:szCs w:val="20"/>
          <w:lang w:bidi="hi-IN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363"/>
        <w:gridCol w:w="142"/>
        <w:gridCol w:w="993"/>
        <w:gridCol w:w="84"/>
        <w:gridCol w:w="25"/>
        <w:gridCol w:w="737"/>
        <w:gridCol w:w="50"/>
        <w:gridCol w:w="790"/>
        <w:gridCol w:w="155"/>
        <w:gridCol w:w="567"/>
        <w:gridCol w:w="66"/>
        <w:gridCol w:w="501"/>
        <w:gridCol w:w="286"/>
        <w:gridCol w:w="67"/>
        <w:gridCol w:w="214"/>
        <w:gridCol w:w="186"/>
        <w:gridCol w:w="381"/>
        <w:gridCol w:w="423"/>
        <w:gridCol w:w="144"/>
        <w:gridCol w:w="571"/>
        <w:gridCol w:w="104"/>
        <w:gridCol w:w="28"/>
        <w:gridCol w:w="52"/>
        <w:gridCol w:w="383"/>
        <w:gridCol w:w="552"/>
        <w:gridCol w:w="151"/>
        <w:gridCol w:w="630"/>
        <w:gridCol w:w="1056"/>
        <w:gridCol w:w="7"/>
        <w:gridCol w:w="15"/>
      </w:tblGrid>
      <w:tr w:rsidR="007D05FB" w:rsidRPr="0089044A" w14:paraId="003DEDC5" w14:textId="77777777" w:rsidTr="007D05FB">
        <w:trPr>
          <w:gridAfter w:val="2"/>
          <w:wAfter w:w="22" w:type="dxa"/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1F244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  <w:t>Kod przedmiotu</w:t>
            </w:r>
          </w:p>
        </w:tc>
        <w:tc>
          <w:tcPr>
            <w:tcW w:w="1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7C676" w14:textId="7D7EFA15" w:rsidR="007D05FB" w:rsidRPr="00886B8D" w:rsidRDefault="007D05FB" w:rsidP="007D05FB">
            <w:pPr>
              <w:widowControl w:val="0"/>
              <w:suppressAutoHyphens/>
              <w:snapToGrid w:val="0"/>
              <w:spacing w:line="240" w:lineRule="auto"/>
              <w:ind w:left="-113" w:right="-178"/>
              <w:jc w:val="left"/>
              <w:textAlignment w:val="baseline"/>
              <w:rPr>
                <w:rFonts w:ascii="Verdana" w:eastAsia="Calibri" w:hAnsi="Verdana" w:cs="Mangal"/>
                <w:kern w:val="1"/>
                <w:sz w:val="12"/>
                <w:szCs w:val="12"/>
                <w:lang w:bidi="hi-IN"/>
              </w:rPr>
            </w:pPr>
            <w:r w:rsidRPr="00261EB3">
              <w:rPr>
                <w:rFonts w:ascii="Calibri" w:eastAsia="Calibri" w:hAnsi="Calibri" w:cs="Mangal"/>
                <w:kern w:val="1"/>
                <w:sz w:val="18"/>
                <w:szCs w:val="18"/>
                <w:lang w:bidi="hi-IN"/>
              </w:rPr>
              <w:t xml:space="preserve"> </w:t>
            </w:r>
            <w:r w:rsidR="00261EB3" w:rsidRPr="00886B8D">
              <w:rPr>
                <w:rFonts w:ascii="Verdana" w:eastAsia="Calibri" w:hAnsi="Verdana" w:cs="Mangal"/>
                <w:kern w:val="1"/>
                <w:sz w:val="12"/>
                <w:szCs w:val="12"/>
                <w:lang w:bidi="hi-IN"/>
              </w:rPr>
              <w:t>16_9_BW1PN_Bczło0612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579B3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  <w:t>Nazwa przedmiotu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ACA40" w14:textId="77777777" w:rsidR="007D05FB" w:rsidRPr="0081321F" w:rsidRDefault="006F5B2B" w:rsidP="007D05FB">
            <w:pPr>
              <w:pStyle w:val="Tekstdymka"/>
              <w:rPr>
                <w:rFonts w:asciiTheme="minorHAnsi" w:eastAsia="Calibri" w:hAnsiTheme="minorHAnsi" w:cstheme="minorHAnsi"/>
                <w:b/>
                <w:bCs/>
                <w:i/>
                <w:color w:val="365F91"/>
                <w:sz w:val="20"/>
                <w:szCs w:val="20"/>
                <w:lang w:eastAsia="en-US"/>
              </w:rPr>
            </w:pPr>
            <w:r w:rsidRPr="0081321F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Prawa człowieka i etyka zawodowa funkcjonariuszy służb państwowych</w:t>
            </w:r>
          </w:p>
        </w:tc>
      </w:tr>
      <w:tr w:rsidR="007D05FB" w:rsidRPr="0081321F" w14:paraId="38A75383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D73D0F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Nazwa przedmiotu w języku angielskim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E65E1" w14:textId="77777777" w:rsidR="007D05FB" w:rsidRPr="00EC119C" w:rsidRDefault="006F5B2B" w:rsidP="007D0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lang w:val="en-US" w:bidi="hi-IN"/>
              </w:rPr>
            </w:pPr>
            <w:r w:rsidRPr="00EC119C"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lang w:val="en-US" w:bidi="hi-IN"/>
              </w:rPr>
              <w:t>Human rights and professional ethics of public officials</w:t>
            </w:r>
          </w:p>
        </w:tc>
      </w:tr>
      <w:tr w:rsidR="007D05FB" w:rsidRPr="0089044A" w14:paraId="45166035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3B9C4A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Wydział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7723D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Prawa i Bezpieczeństwa</w:t>
            </w:r>
          </w:p>
        </w:tc>
      </w:tr>
      <w:tr w:rsidR="007D05FB" w:rsidRPr="0089044A" w14:paraId="11DCAE84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75A720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Kierunek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303E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Bezpieczeństwo wewnętrzne</w:t>
            </w:r>
          </w:p>
        </w:tc>
      </w:tr>
      <w:tr w:rsidR="007D05FB" w:rsidRPr="0089044A" w14:paraId="2715202F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FB852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studiów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F0EBD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7D05F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Studia niestacjonarne</w:t>
            </w:r>
          </w:p>
        </w:tc>
      </w:tr>
      <w:tr w:rsidR="007D05FB" w:rsidRPr="0089044A" w14:paraId="1E840B4F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807567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Poziom uczenia się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4D174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Studia pierwszego stopnia</w:t>
            </w:r>
          </w:p>
        </w:tc>
      </w:tr>
      <w:tr w:rsidR="007D05FB" w:rsidRPr="0089044A" w14:paraId="1F9B1036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B2AA11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Profil kształcenia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33C3F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Praktyczny</w:t>
            </w:r>
          </w:p>
        </w:tc>
      </w:tr>
      <w:tr w:rsidR="007D05FB" w:rsidRPr="0089044A" w14:paraId="7254BB97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99A7F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Przynależność do grupy przedmiotów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8BA6D" w14:textId="2FE38BEC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Przedmiot kierunkowy</w:t>
            </w:r>
            <w:r w:rsidR="00261EB3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</w:t>
            </w:r>
          </w:p>
        </w:tc>
      </w:tr>
      <w:tr w:rsidR="007D05FB" w:rsidRPr="0089044A" w14:paraId="770412F8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D8173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Przedmioty do wyboru w zakresie: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BDA58" w14:textId="39E40FA6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D05FB" w:rsidRPr="0089044A" w14:paraId="72254014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8AC5A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Verdana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Osoba odpowiedzialna za przedmiot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8E710" w14:textId="1A9E1CA4" w:rsidR="007D05FB" w:rsidRPr="0089044A" w:rsidRDefault="00117E5C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mgr Paulina Wzorek</w:t>
            </w:r>
          </w:p>
        </w:tc>
      </w:tr>
      <w:tr w:rsidR="007D05FB" w:rsidRPr="0089044A" w14:paraId="452022DA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18355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Verdana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Osoby prowadzące zajęcia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3A1BA" w14:textId="5EAB596E" w:rsidR="007D05FB" w:rsidRPr="0089044A" w:rsidRDefault="00117E5C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mgr Paulina Wzorek</w:t>
            </w:r>
          </w:p>
        </w:tc>
      </w:tr>
      <w:tr w:rsidR="007D05FB" w:rsidRPr="0089044A" w14:paraId="1D29661D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E5ED91" w14:textId="77777777" w:rsidR="007D05FB" w:rsidRPr="0089044A" w:rsidRDefault="007D05FB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D7D4D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100" w:lineRule="atLeast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W </w:t>
            </w:r>
          </w:p>
        </w:tc>
        <w:tc>
          <w:tcPr>
            <w:tcW w:w="579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D8EBB" w14:textId="77777777" w:rsidR="007D05FB" w:rsidRPr="0089044A" w:rsidRDefault="007D05FB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vertAlign w:val="superscript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Zajęcia kształtujące umiejętności praktyczne (ZKUP) </w:t>
            </w:r>
          </w:p>
        </w:tc>
      </w:tr>
      <w:tr w:rsidR="007D05FB" w:rsidRPr="0089044A" w14:paraId="1FCC07F8" w14:textId="77777777" w:rsidTr="007D05FB">
        <w:trPr>
          <w:gridAfter w:val="1"/>
          <w:wAfter w:w="15" w:type="dxa"/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F39A1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C031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E3BE16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Ć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04B39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52C604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3480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6F9780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proofErr w:type="spell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Wa</w:t>
            </w:r>
            <w:proofErr w:type="spell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3EA9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1C25B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Inne- jakie: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06694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D05FB" w:rsidRPr="0089044A" w14:paraId="2D70AE38" w14:textId="77777777" w:rsidTr="007D05FB">
        <w:trPr>
          <w:gridAfter w:val="1"/>
          <w:wAfter w:w="15" w:type="dxa"/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5A8484" w14:textId="77777777" w:rsidR="007D05FB" w:rsidRPr="0089044A" w:rsidRDefault="007D05FB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9AAA79" w14:textId="3780CEDE" w:rsidR="007D05FB" w:rsidRPr="0089044A" w:rsidRDefault="00261EB3" w:rsidP="006F5B2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8ABACD" w14:textId="30EB3853" w:rsidR="007D05FB" w:rsidRPr="0089044A" w:rsidRDefault="0061770A" w:rsidP="006F5B2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</w:t>
            </w:r>
            <w:r w:rsidR="00261EB3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D11F5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16A26C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61C879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54AF7C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DD069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34AFE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D05FB" w:rsidRPr="0089044A" w14:paraId="44FA4546" w14:textId="77777777" w:rsidTr="006239F9">
        <w:trPr>
          <w:gridAfter w:val="2"/>
          <w:wAfter w:w="22" w:type="dxa"/>
          <w:trHeight w:val="36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859CF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Legenda: W – wykład, Ć – ćwiczenia, K- konwersatorium, L – laboratorium, ZP – zajęcia praktyczne,</w:t>
            </w:r>
            <w:r w:rsidRPr="0089044A">
              <w:rPr>
                <w:rFonts w:eastAsia="SimSun" w:cs="Mangal"/>
                <w:kern w:val="1"/>
                <w:szCs w:val="24"/>
                <w:lang w:eastAsia="zh-CN" w:bidi="hi-IN"/>
              </w:rPr>
              <w:t xml:space="preserve"> </w:t>
            </w:r>
            <w:proofErr w:type="spell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Wa</w:t>
            </w:r>
            <w:proofErr w:type="spell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– </w:t>
            </w:r>
            <w:proofErr w:type="gram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warsztaty,   </w:t>
            </w:r>
            <w:proofErr w:type="gram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           Pr – praktyka</w:t>
            </w:r>
          </w:p>
        </w:tc>
      </w:tr>
      <w:tr w:rsidR="007D05FB" w:rsidRPr="0089044A" w14:paraId="6BE196D1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40578F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Semestr(y) zajęć dla kierunku kształcenia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6BED94" w14:textId="77777777" w:rsidR="007D05FB" w:rsidRPr="0089044A" w:rsidRDefault="006F5B2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Pierwszy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861E6E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Liczba punktów ECTS za przedmiot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A4FBC" w14:textId="49201131" w:rsidR="007D05FB" w:rsidRPr="0089044A" w:rsidRDefault="00EC119C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3</w:t>
            </w:r>
          </w:p>
        </w:tc>
      </w:tr>
      <w:tr w:rsidR="007D05FB" w:rsidRPr="0089044A" w14:paraId="33205B42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63C09E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Status przedmiotu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E14E6E" w14:textId="77777777" w:rsidR="007D05FB" w:rsidRPr="0089044A" w:rsidRDefault="00617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obowiązkowy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AB46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Język wykładowy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83A46" w14:textId="77777777" w:rsidR="007D05FB" w:rsidRPr="0089044A" w:rsidRDefault="00A85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polski</w:t>
            </w:r>
          </w:p>
        </w:tc>
      </w:tr>
      <w:tr w:rsidR="007D05FB" w:rsidRPr="0089044A" w14:paraId="3F2D9C2E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9C5E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Wymagania wstępne</w:t>
            </w:r>
          </w:p>
        </w:tc>
        <w:tc>
          <w:tcPr>
            <w:tcW w:w="735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ACB7F" w14:textId="77777777" w:rsidR="007D05FB" w:rsidRPr="0089044A" w:rsidRDefault="00A8570A" w:rsidP="00DF63D1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Podstawowe</w:t>
            </w:r>
            <w:r w:rsidRPr="00C16BDA">
              <w:rPr>
                <w:rFonts w:ascii="Tahoma" w:hAnsi="Tahoma" w:cs="Tahoma"/>
                <w:sz w:val="20"/>
                <w:szCs w:val="20"/>
              </w:rPr>
              <w:t xml:space="preserve"> wiadomości z przedmiotów: </w:t>
            </w:r>
            <w:r>
              <w:rPr>
                <w:rFonts w:ascii="Tahoma" w:hAnsi="Tahoma" w:cs="Tahoma"/>
                <w:sz w:val="20"/>
                <w:szCs w:val="20"/>
              </w:rPr>
              <w:t>"Nauka o państwie i prawie</w:t>
            </w:r>
            <w:r w:rsidRPr="00C16BDA">
              <w:rPr>
                <w:rFonts w:ascii="Tahoma" w:hAnsi="Tahoma" w:cs="Tahoma"/>
                <w:sz w:val="20"/>
                <w:szCs w:val="20"/>
              </w:rPr>
              <w:t>".</w:t>
            </w:r>
          </w:p>
        </w:tc>
      </w:tr>
      <w:tr w:rsidR="007D05FB" w:rsidRPr="0089044A" w14:paraId="7463792E" w14:textId="77777777" w:rsidTr="006239F9">
        <w:trPr>
          <w:gridAfter w:val="2"/>
          <w:wAfter w:w="22" w:type="dxa"/>
          <w:trHeight w:val="288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CD70C5" w14:textId="77777777" w:rsidR="007D05F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Cele uczenia się</w:t>
            </w:r>
          </w:p>
          <w:p w14:paraId="0B6C0A2A" w14:textId="0AB8D679" w:rsidR="00A8570A" w:rsidRPr="0089044A" w:rsidRDefault="00261EB3" w:rsidP="00A8570A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Style w:val="wrtext"/>
              </w:rPr>
              <w:t xml:space="preserve">Wykłady i ćwiczenia mają na celu ukazanie konieczności systemowego i interdyscyplinarnego podejścia do problematyki praw człowieka. Celem przedmiotu jest przekazanie studentom wiedzy i umiejętności w zakresie: poznania rozwoju i ewolucji koncepcji praw człowieka, definiowania pojęć z zakresu praw człowieka, znajomości źródeł i prawnych gwarancji praw człowieka, rozumienia pojęcia etyki i </w:t>
            </w:r>
            <w:proofErr w:type="gramStart"/>
            <w:r>
              <w:rPr>
                <w:rStyle w:val="wrtext"/>
              </w:rPr>
              <w:t>moralności ,znajomości</w:t>
            </w:r>
            <w:proofErr w:type="gramEnd"/>
            <w:r>
              <w:rPr>
                <w:rStyle w:val="wrtext"/>
              </w:rPr>
              <w:t xml:space="preserve"> ewolucji teorii i poglądów w zakresie etyki, znajomości zasad etycznych zawartych w poszczególnych kodeksach etycznych .</w:t>
            </w:r>
          </w:p>
          <w:p w14:paraId="4ACEA381" w14:textId="77777777" w:rsidR="007D05FB" w:rsidRPr="0089044A" w:rsidRDefault="007D05FB" w:rsidP="007D05FB">
            <w:pPr>
              <w:widowControl w:val="0"/>
              <w:suppressAutoHyphens/>
              <w:spacing w:line="100" w:lineRule="atLeast"/>
              <w:jc w:val="left"/>
              <w:textAlignment w:val="baseline"/>
              <w:rPr>
                <w:rFonts w:ascii="Verdana" w:eastAsia="Calibri" w:hAnsi="Verdana" w:cs="Aharoni"/>
                <w:i/>
                <w:iCs/>
                <w:kern w:val="1"/>
                <w:sz w:val="16"/>
                <w:szCs w:val="24"/>
                <w:lang w:eastAsia="zh-CN" w:bidi="hi-IN"/>
              </w:rPr>
            </w:pPr>
          </w:p>
        </w:tc>
      </w:tr>
      <w:tr w:rsidR="007D05FB" w:rsidRPr="0089044A" w14:paraId="7EC4D6EC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CDA71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  <w:t>Opis efektów uczenia się</w:t>
            </w: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 dla przedmiotu</w:t>
            </w:r>
          </w:p>
        </w:tc>
      </w:tr>
      <w:tr w:rsidR="007D05FB" w:rsidRPr="0089044A" w14:paraId="67B90D0E" w14:textId="77777777" w:rsidTr="007D05FB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60C93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CD5286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  <w:t>Efekt uczenia się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E3A077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Student, który zaliczył przedmiot</w:t>
            </w:r>
          </w:p>
          <w:p w14:paraId="7D8FE180" w14:textId="77777777" w:rsidR="007D05FB" w:rsidRPr="0089044A" w:rsidRDefault="007D05FB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wie/umie/potrafi: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AD77A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  <w:t xml:space="preserve">SYMBOL (odniesienie kierunkowych efektów uczenia się do charakterystyk drugiego stopnia dla: poziomu 6 Polskiej Ramy </w:t>
            </w:r>
            <w:proofErr w:type="gramStart"/>
            <w:r w:rsidRPr="0089044A"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  <w:t>Kwalifikacji)*</w:t>
            </w:r>
            <w:proofErr w:type="gramEnd"/>
          </w:p>
        </w:tc>
      </w:tr>
      <w:tr w:rsidR="007D05FB" w:rsidRPr="0089044A" w14:paraId="6A6E4942" w14:textId="77777777" w:rsidTr="006239F9">
        <w:trPr>
          <w:gridAfter w:val="2"/>
          <w:wAfter w:w="22" w:type="dxa"/>
          <w:trHeight w:val="284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6B298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WIEDZA</w:t>
            </w:r>
          </w:p>
        </w:tc>
      </w:tr>
      <w:tr w:rsidR="007D05FB" w:rsidRPr="0089044A" w14:paraId="032DC090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533A" w14:textId="77777777" w:rsidR="007D05FB" w:rsidRPr="0089044A" w:rsidRDefault="00E11721" w:rsidP="007D05FB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A146" w14:textId="77777777" w:rsidR="007D05FB" w:rsidRPr="0089044A" w:rsidRDefault="00156CC0" w:rsidP="00156CC0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72DE607" w14:textId="77777777" w:rsidR="007D05FB" w:rsidRPr="0089044A" w:rsidRDefault="00E11721" w:rsidP="007D05FB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 xml:space="preserve">ma podstawową o podziale władzy w państwie oraz zadaniach i zasadach funkcjonowania organów państwa, w tym usytuowaniu i roli administracji publicznej odpowiedzialnej za bezpieczeństwo </w:t>
            </w:r>
            <w:proofErr w:type="gramStart"/>
            <w:r>
              <w:rPr>
                <w:rFonts w:cs="Times New Roman"/>
                <w:color w:val="000000"/>
              </w:rPr>
              <w:t>wewnętrzne  w</w:t>
            </w:r>
            <w:proofErr w:type="gramEnd"/>
            <w:r>
              <w:rPr>
                <w:rFonts w:cs="Times New Roman"/>
                <w:color w:val="000000"/>
              </w:rPr>
              <w:t xml:space="preserve"> ujęciu praktycznym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E6E17" w14:textId="77777777" w:rsidR="00E11721" w:rsidRDefault="00E11721" w:rsidP="00E11721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P6S_WG</w:t>
            </w:r>
          </w:p>
          <w:p w14:paraId="6E323022" w14:textId="77777777" w:rsidR="007D05FB" w:rsidRPr="0089044A" w:rsidRDefault="00E11721" w:rsidP="00E11721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PS6_WK</w:t>
            </w:r>
          </w:p>
          <w:p w14:paraId="166D8902" w14:textId="77777777" w:rsidR="007D05FB" w:rsidRPr="0089044A" w:rsidRDefault="007D05FB" w:rsidP="007D05FB">
            <w:pPr>
              <w:widowControl w:val="0"/>
              <w:suppressAutoHyphens/>
              <w:spacing w:line="100" w:lineRule="atLeast"/>
              <w:jc w:val="left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E11721" w:rsidRPr="0089044A" w14:paraId="7267E224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0F596" w14:textId="77777777" w:rsidR="00E11721" w:rsidRPr="0089044A" w:rsidRDefault="00E21C7D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217D" w14:textId="77777777" w:rsidR="00E11721" w:rsidRPr="0089044A" w:rsidRDefault="000759C8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5836009" w14:textId="77777777" w:rsidR="00E11721" w:rsidRPr="0089044A" w:rsidRDefault="00E21C7D" w:rsidP="007D05FB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 xml:space="preserve">Posiada wiedzą na temat problemów związanych z bezpieczeństwem społeczności regionalnych i </w:t>
            </w:r>
            <w:proofErr w:type="spellStart"/>
            <w:r>
              <w:rPr>
                <w:rFonts w:cs="Times New Roman"/>
                <w:color w:val="000000"/>
              </w:rPr>
              <w:t>subregionalnych</w:t>
            </w:r>
            <w:proofErr w:type="spellEnd"/>
            <w:r>
              <w:rPr>
                <w:rFonts w:cs="Times New Roman"/>
                <w:color w:val="000000"/>
              </w:rPr>
              <w:t xml:space="preserve"> oraz zna zasady kształtowania bezpiecznych przestrzeni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82D99" w14:textId="77777777" w:rsidR="00E21C7D" w:rsidRDefault="00E21C7D" w:rsidP="00E21C7D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P6S_WG</w:t>
            </w:r>
          </w:p>
          <w:p w14:paraId="50CA0D2A" w14:textId="77777777" w:rsidR="00E11721" w:rsidRPr="0089044A" w:rsidRDefault="00E21C7D" w:rsidP="00E21C7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P6S_WK</w:t>
            </w:r>
          </w:p>
        </w:tc>
      </w:tr>
      <w:tr w:rsidR="00E21C7D" w:rsidRPr="0089044A" w14:paraId="01C99108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6FC6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B999" w14:textId="77777777" w:rsidR="00E21C7D" w:rsidRPr="0089044A" w:rsidRDefault="000759C8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6C050A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 xml:space="preserve">posiada ugruntowaną wiedzę dot. zagadnień społecznych i psychologicznych mających wpływ na bezpieczeństwo </w:t>
            </w:r>
            <w:r>
              <w:rPr>
                <w:rFonts w:cs="Times New Roman"/>
                <w:color w:val="000000"/>
              </w:rPr>
              <w:lastRenderedPageBreak/>
              <w:t>wewnętrzne w ujęciu praktycznym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A1E08" w14:textId="77777777" w:rsidR="00E21C7D" w:rsidRDefault="00E21C7D" w:rsidP="00E21C7D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P6S_WK</w:t>
            </w:r>
          </w:p>
          <w:p w14:paraId="222F0B19" w14:textId="77777777" w:rsidR="00E21C7D" w:rsidRPr="0089044A" w:rsidRDefault="00E21C7D" w:rsidP="00E21C7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0759C8" w:rsidRPr="000759C8" w14:paraId="78A7DBAD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964E" w14:textId="77777777" w:rsidR="000759C8" w:rsidRDefault="000759C8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cs="Times New Roman"/>
              </w:rPr>
            </w:pPr>
            <w:r>
              <w:t>K_W12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033B" w14:textId="77777777" w:rsidR="000759C8" w:rsidRDefault="000759C8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5E4D78E" w14:textId="77777777" w:rsidR="000759C8" w:rsidRDefault="000759C8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cs="Times New Roman"/>
                <w:color w:val="000000"/>
              </w:rPr>
            </w:pPr>
            <w:r>
              <w:rPr>
                <w:color w:val="000000"/>
              </w:rPr>
              <w:t>zna międzynarodowe i polskie regulacje dotyczące praw człowieka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E5CB8" w14:textId="77777777" w:rsidR="000759C8" w:rsidRPr="000759C8" w:rsidRDefault="000759C8" w:rsidP="00E21C7D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59C8">
              <w:rPr>
                <w:rFonts w:ascii="Times New Roman" w:hAnsi="Times New Roman" w:cs="Times New Roman"/>
                <w:color w:val="auto"/>
              </w:rPr>
              <w:t>P6S_WG</w:t>
            </w:r>
          </w:p>
        </w:tc>
      </w:tr>
      <w:tr w:rsidR="00E21C7D" w:rsidRPr="0089044A" w14:paraId="4D286D0D" w14:textId="77777777" w:rsidTr="006239F9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37E1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  <w:t xml:space="preserve">UMIEJĘTNOŚCI </w:t>
            </w:r>
          </w:p>
        </w:tc>
      </w:tr>
      <w:tr w:rsidR="00E21C7D" w:rsidRPr="0089044A" w14:paraId="35527F80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76DF" w14:textId="77777777" w:rsidR="00E21C7D" w:rsidRPr="0089044A" w:rsidRDefault="004906AC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K_U01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191C" w14:textId="77777777" w:rsidR="00E21C7D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U01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606527AE" w14:textId="77777777" w:rsidR="00E21C7D" w:rsidRPr="0089044A" w:rsidRDefault="004906AC" w:rsidP="00E21C7D">
            <w:pPr>
              <w:spacing w:before="100" w:beforeAutospacing="1" w:after="100" w:afterAutospacing="1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szCs w:val="24"/>
              </w:rPr>
              <w:t>potrafi prawidłowo interpretować zjawiska i zagrożenia bezpieczeństwa w skali globalnej, państwowej, regionalnej i lokalnej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01641" w14:textId="77777777" w:rsidR="00E21C7D" w:rsidRPr="0089044A" w:rsidRDefault="004906AC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P6S_UW</w:t>
            </w:r>
          </w:p>
        </w:tc>
      </w:tr>
      <w:tr w:rsidR="00E21C7D" w:rsidRPr="0089044A" w14:paraId="0C5EEDD0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1AB5" w14:textId="77777777" w:rsidR="00E21C7D" w:rsidRPr="0089044A" w:rsidRDefault="004906AC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K_U03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56FD" w14:textId="77777777" w:rsidR="00E21C7D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U02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DD0FB75" w14:textId="77777777" w:rsidR="00E21C7D" w:rsidRPr="0089044A" w:rsidRDefault="004906AC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color w:val="000000"/>
                <w:kern w:val="1"/>
                <w:sz w:val="20"/>
                <w:szCs w:val="20"/>
                <w:lang w:bidi="hi-IN"/>
              </w:rPr>
            </w:pPr>
            <w:r>
              <w:t>potrafi właściwie posługiwać się konkretnymi normami i regułami: prawnymi, zawodowymi i moralnymi w celu rozwiązania konkretnego zadania w zakresie bezpieczeństwa wewnętrznego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B7F4A" w14:textId="77777777" w:rsidR="00E21C7D" w:rsidRPr="0089044A" w:rsidRDefault="004906AC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FF0000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P6S_UW</w:t>
            </w:r>
          </w:p>
        </w:tc>
      </w:tr>
      <w:tr w:rsidR="004906AC" w:rsidRPr="0089044A" w14:paraId="6A7AD49D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F352" w14:textId="77777777" w:rsidR="004906AC" w:rsidRPr="0089044A" w:rsidRDefault="004906AC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K_U04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5174" w14:textId="77777777" w:rsidR="004906AC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U03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4159F9D" w14:textId="77777777" w:rsidR="004906AC" w:rsidRPr="0089044A" w:rsidRDefault="004906AC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color w:val="000000"/>
                <w:kern w:val="1"/>
                <w:sz w:val="20"/>
                <w:szCs w:val="20"/>
                <w:lang w:bidi="hi-IN"/>
              </w:rPr>
            </w:pPr>
            <w:r>
              <w:t>potrafi umiejętnie komunikowania się z otoczeniem w celu pozyskiwania, przetwarzania i wykorzystywania informacji w zakresie bezpieczeństwa wewnętrznego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92706" w14:textId="77777777" w:rsidR="004906AC" w:rsidRPr="0089044A" w:rsidRDefault="004906AC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FF0000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P6S_UW</w:t>
            </w:r>
          </w:p>
        </w:tc>
      </w:tr>
      <w:tr w:rsidR="00E21C7D" w:rsidRPr="0089044A" w14:paraId="5557177E" w14:textId="77777777" w:rsidTr="006239F9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B7729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  <w:t>KOMPETENCJE SPOŁECZNE</w:t>
            </w:r>
          </w:p>
        </w:tc>
      </w:tr>
      <w:tr w:rsidR="00E21C7D" w:rsidRPr="0089044A" w14:paraId="28BD07CF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0E13" w14:textId="77777777" w:rsidR="00E21C7D" w:rsidRPr="0089044A" w:rsidRDefault="00F14F72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K_K01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A574" w14:textId="77777777" w:rsidR="00E21C7D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8B50F9C" w14:textId="77777777" w:rsidR="00E21C7D" w:rsidRPr="0089044A" w:rsidRDefault="00F14F72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</w:rPr>
              <w:t>systematycznie uzupełnia wiedzę i doskonali umiejętności w zakresie bezpieczeństwa rozumiejąc potrzebę uczenia się przez całe życie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49D8D" w14:textId="77777777" w:rsidR="00E21C7D" w:rsidRPr="0089044A" w:rsidRDefault="00F14F72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P6S_KK</w:t>
            </w:r>
          </w:p>
        </w:tc>
      </w:tr>
      <w:tr w:rsidR="00F14F72" w:rsidRPr="0089044A" w14:paraId="4873F308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6504" w14:textId="77777777" w:rsidR="00F14F72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K_K03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3BF8" w14:textId="77777777" w:rsidR="00F14F72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B227A21" w14:textId="77777777" w:rsidR="00F14F72" w:rsidRPr="0089044A" w:rsidRDefault="00156CC0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>określa priorytety służące realizacji określonego przez siebie lub innych zadania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40015" w14:textId="77777777" w:rsidR="00F14F72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P6S_KR</w:t>
            </w:r>
          </w:p>
        </w:tc>
      </w:tr>
      <w:tr w:rsidR="00F14F72" w:rsidRPr="0089044A" w14:paraId="499C34B4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45BC" w14:textId="77777777" w:rsidR="00F14F72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K_K04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103E" w14:textId="77777777" w:rsidR="00F14F72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C72F748" w14:textId="77777777" w:rsidR="00F14F72" w:rsidRPr="0089044A" w:rsidRDefault="00156CC0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 xml:space="preserve">prawidłowo </w:t>
            </w:r>
            <w:proofErr w:type="gramStart"/>
            <w:r>
              <w:rPr>
                <w:color w:val="000000"/>
              </w:rPr>
              <w:t>identyfikuje  i</w:t>
            </w:r>
            <w:proofErr w:type="gramEnd"/>
            <w:r>
              <w:rPr>
                <w:color w:val="000000"/>
              </w:rPr>
              <w:t xml:space="preserve"> rozstrzyga  dylematy związane z wykonywaniem zawodu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5806B" w14:textId="77777777" w:rsidR="00F14F72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P6S_KO</w:t>
            </w:r>
          </w:p>
        </w:tc>
      </w:tr>
      <w:tr w:rsidR="00F14F72" w:rsidRPr="0089044A" w14:paraId="04108705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C133" w14:textId="77777777" w:rsidR="00F14F72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K_K06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72E8" w14:textId="77777777" w:rsidR="00F14F72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E52FCA7" w14:textId="77777777" w:rsidR="00F14F72" w:rsidRPr="0089044A" w:rsidRDefault="00156CC0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>jest przygotowany do pracy w instytucjach administracji publicznej w obszarze bezpieczeństwa wewnętrznego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392BA" w14:textId="77777777" w:rsidR="00F14F72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P6S_KK</w:t>
            </w:r>
          </w:p>
        </w:tc>
      </w:tr>
      <w:tr w:rsidR="00F14F72" w:rsidRPr="0089044A" w14:paraId="51BB0B5E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8D0F" w14:textId="77777777" w:rsidR="00F14F72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K_U08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26F1" w14:textId="77777777" w:rsidR="00F14F72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K05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E2A9F63" w14:textId="77777777" w:rsidR="00F14F72" w:rsidRPr="0089044A" w:rsidRDefault="00156CC0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>Ma świadomość znaczenia zachowania się w sposób profesjonalny i etyczny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14899" w14:textId="77777777" w:rsidR="00F14F72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P6S_KO</w:t>
            </w:r>
          </w:p>
        </w:tc>
      </w:tr>
      <w:tr w:rsidR="00F14F72" w:rsidRPr="0089044A" w14:paraId="73A947F6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03AC" w14:textId="77777777" w:rsidR="00F14F72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K_U11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8DE3" w14:textId="77777777" w:rsidR="00F14F72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E152458" w14:textId="77777777" w:rsidR="00F14F72" w:rsidRPr="0089044A" w:rsidRDefault="00156CC0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>Identyfikuje się ze społecznością lokalną i poczuwa się do odpowiedzialności za jej bezpieczeństwo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00694" w14:textId="77777777" w:rsidR="00F14F72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P6S_KR</w:t>
            </w:r>
          </w:p>
        </w:tc>
      </w:tr>
      <w:tr w:rsidR="00E21C7D" w:rsidRPr="0089044A" w14:paraId="214B69DD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A8D4C" w14:textId="77777777" w:rsidR="00E21C7D" w:rsidRPr="0089044A" w:rsidRDefault="00E21C7D" w:rsidP="00E21C7D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  <w:t>Metody weryfikacji efektów uczenia się</w:t>
            </w: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 dla przedmiotu w odniesieniu do form zajęć</w:t>
            </w:r>
          </w:p>
        </w:tc>
      </w:tr>
      <w:tr w:rsidR="00E21C7D" w:rsidRPr="0089044A" w14:paraId="4BE4C1C8" w14:textId="77777777" w:rsidTr="007D05FB">
        <w:trPr>
          <w:gridAfter w:val="2"/>
          <w:wAfter w:w="22" w:type="dxa"/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29012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  <w:t>Efekt uczenia się</w:t>
            </w:r>
          </w:p>
        </w:tc>
        <w:tc>
          <w:tcPr>
            <w:tcW w:w="809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EF68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  <w:t>Forma zajęć dydaktycznych</w:t>
            </w:r>
          </w:p>
        </w:tc>
      </w:tr>
      <w:tr w:rsidR="00E21C7D" w:rsidRPr="0089044A" w14:paraId="0D5DAEF9" w14:textId="77777777" w:rsidTr="007D05FB">
        <w:trPr>
          <w:gridAfter w:val="2"/>
          <w:wAfter w:w="22" w:type="dxa"/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EAF198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D43293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48FEF87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0E4E6C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8757CB7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E3E42F6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59B9FF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E54EDAB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B2EADA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Aktywność na zajęciach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8C80B13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inne ...</w:t>
            </w:r>
          </w:p>
        </w:tc>
      </w:tr>
      <w:tr w:rsidR="00E21C7D" w:rsidRPr="0089044A" w14:paraId="63331319" w14:textId="77777777" w:rsidTr="006239F9">
        <w:trPr>
          <w:gridAfter w:val="2"/>
          <w:wAfter w:w="22" w:type="dxa"/>
          <w:trHeight w:hRule="exact" w:val="339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E3C7B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WIEDZA</w:t>
            </w:r>
          </w:p>
        </w:tc>
      </w:tr>
      <w:tr w:rsidR="00E21C7D" w:rsidRPr="0089044A" w14:paraId="33D77390" w14:textId="77777777" w:rsidTr="007D05FB">
        <w:trPr>
          <w:gridAfter w:val="2"/>
          <w:wAfter w:w="22" w:type="dxa"/>
          <w:trHeight w:hRule="exact" w:val="339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708CCF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W01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6BC2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FD5E5E" w14:textId="31CB40CF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9FE17" w14:textId="64249F42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565D6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90A666" w14:textId="3614BF7B" w:rsidR="00E21C7D" w:rsidRPr="0089044A" w:rsidRDefault="00E21C7D" w:rsidP="00886B8D">
            <w:pPr>
              <w:widowControl w:val="0"/>
              <w:suppressAutoHyphens/>
              <w:spacing w:after="200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C60DB" w14:textId="1F00B14B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2CAE89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0BD12" w14:textId="532BF223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24CC2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16CE3D2D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7920EB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W02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0CDC3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26504" w14:textId="5D8223AF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BA269D" w14:textId="6BFE8FA6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83EE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423D60" w14:textId="5502B03E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393F5B" w14:textId="789E5B8A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40315E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2BC8A" w14:textId="57F5077F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C85C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221F594E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0DB354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W03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5580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2F25CA" w14:textId="649FCC49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99786" w14:textId="1FD9C9FE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C6C1C3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044260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327BA" w14:textId="6E2AC068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C7F604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35E36D" w14:textId="77777777" w:rsidR="00E21C7D" w:rsidRPr="0089044A" w:rsidRDefault="00D02BCA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9C9F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1279D528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B1BB23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W04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64F13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870ACD" w14:textId="616CF2F2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60DF2" w14:textId="0126E454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41F4F3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EE7D1" w14:textId="63301D34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01917" w14:textId="7924389C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F4ADE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E7F360" w14:textId="6E2D8AB8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83B7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161BC62D" w14:textId="77777777" w:rsidTr="006239F9">
        <w:trPr>
          <w:gridAfter w:val="2"/>
          <w:wAfter w:w="22" w:type="dxa"/>
          <w:trHeight w:hRule="exact" w:val="25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3128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UMIEJĘTNOŚCI</w:t>
            </w:r>
          </w:p>
        </w:tc>
      </w:tr>
      <w:tr w:rsidR="00E21C7D" w:rsidRPr="0089044A" w14:paraId="7052344A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E781A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2496C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7951D" w14:textId="2BB1135E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50747E" w14:textId="4C120FD4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91E262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6B6EC" w14:textId="47DD3632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C4561A" w14:textId="7D9CA8FC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27D92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C32986" w14:textId="642FB126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F0E5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34B1B0B8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ACF671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7714C2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429CD" w14:textId="4340D4BD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A4505A" w14:textId="6BF62363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AB4CF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5338B" w14:textId="0C7501FF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8726B9" w14:textId="4AFBC5AD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56F21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E542CB" w14:textId="14ABE5D6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3EA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33380A40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D540F6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29E71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379BC" w14:textId="292E3D77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B1D7FE" w14:textId="5CB87D6E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81C0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1893B5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E76C0E" w14:textId="37DB5FDB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29451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4CE57E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CCD98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5045CEB8" w14:textId="77777777" w:rsidTr="006239F9">
        <w:trPr>
          <w:gridAfter w:val="2"/>
          <w:wAfter w:w="22" w:type="dxa"/>
          <w:trHeight w:hRule="exact" w:val="306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FE6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KOMPETENCJE SPOŁECZNE</w:t>
            </w:r>
          </w:p>
        </w:tc>
      </w:tr>
      <w:tr w:rsidR="00E21C7D" w:rsidRPr="0089044A" w14:paraId="6FBB0466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185B1D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C1B16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57F3A2" w14:textId="6DF8B9CC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2A631F" w14:textId="2CB0D787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296ADC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F56884" w14:textId="7FDA415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B76DB0" w14:textId="75F91E83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F7DBB2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3FEBA" w14:textId="0F3F8283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FEED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68F91051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A4A9C6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120058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A43412" w14:textId="79FCB075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6E5301" w14:textId="17492578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733D9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0F410C" w14:textId="73099F2A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F25C1" w14:textId="71146C24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982006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1167E2" w14:textId="127EA15A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B43E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4AFDFD07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F3E8F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3E0B86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CF6D0" w14:textId="6E0A6153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A548F3" w14:textId="6C2F34BF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EC85B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D3A06A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DECE9" w14:textId="218B9366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366E6C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3725E2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4AA8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722E0DD4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E0C1E6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7B4B8E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0E4681" w14:textId="1F44B1DA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B37404" w14:textId="6A078084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769D4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7CDFA5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CACE2" w14:textId="02A27392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A1422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49DA7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D954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4033A9AE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D5858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71AF6A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636813" w14:textId="2967C60C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C7067" w14:textId="3CDA2EFB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90EE8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C1D25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96D554" w14:textId="2D384E67" w:rsidR="00706E28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2DCE5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610DD0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BCF7C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2E7C70F8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145B1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lastRenderedPageBreak/>
              <w:t>K06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B43BB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C2521F" w14:textId="2D4FB3E2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54C65" w14:textId="65B4A05E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E0B66D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C357A0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0581C5" w14:textId="5D7929FC" w:rsidR="00E21C7D" w:rsidRPr="0089044A" w:rsidRDefault="00886B8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504AF1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7DA5D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10152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19CD7B29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6AD30" w14:textId="77777777" w:rsidR="00982692" w:rsidRDefault="00982692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562EF52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Kryteria oceniania kompetencji studenta</w:t>
            </w:r>
          </w:p>
          <w:p w14:paraId="627F0C5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3F0A4505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 - WIEDZA</w:t>
            </w:r>
          </w:p>
          <w:p w14:paraId="0806A69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023287B1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Dostateczny/Dostateczny + – Student zapamiętuje i odtwarza wiedzę przewidzianą do opanowania w ramach przedmiotu</w:t>
            </w:r>
          </w:p>
          <w:p w14:paraId="678C3CAF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Dobry/Dobry + – Student dodatkowo interpretuje zjawiska/problemy i potrafi rozwiązać typowy problem</w:t>
            </w:r>
          </w:p>
          <w:p w14:paraId="0A00E5F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5F81E2E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 - UMIEJĘTNOŚCI</w:t>
            </w:r>
          </w:p>
          <w:p w14:paraId="14EBADE3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307AA6BF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6C5BB996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Dobry/Dobry </w:t>
            </w:r>
            <w:proofErr w:type="gram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potrafi samodzielnie wykonać czynności/zadania/rozwiązać typowe problemy dotyczące treści przedmiotu</w:t>
            </w:r>
          </w:p>
          <w:p w14:paraId="15EBA54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0C308351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 - KOMPETENCJE SPOŁECZNE</w:t>
            </w:r>
          </w:p>
          <w:p w14:paraId="3C2A6AD4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42512DE4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Dostateczny/Dostateczny </w:t>
            </w:r>
            <w:proofErr w:type="gram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biernie przyswaja treści przedmiotu z wykazaniem zdolności do koncentracji uwagi i słuchania</w:t>
            </w:r>
          </w:p>
          <w:p w14:paraId="3F5A6CB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Dobry/Dobry </w:t>
            </w:r>
            <w:proofErr w:type="gram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0B0A00C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E21C7D" w:rsidRPr="0089044A" w14:paraId="4E52C882" w14:textId="77777777" w:rsidTr="007D05FB">
        <w:trPr>
          <w:gridAfter w:val="2"/>
          <w:wAfter w:w="22" w:type="dxa"/>
          <w:trHeight w:val="397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FAA0B1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Treść przedmiotu uczenia się (program wykładów i pozostałych zajęć)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3AD7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Odniesienie do efektów uczenia się</w:t>
            </w:r>
          </w:p>
        </w:tc>
      </w:tr>
      <w:tr w:rsidR="00E21C7D" w:rsidRPr="0089044A" w14:paraId="3147A616" w14:textId="77777777" w:rsidTr="00471797">
        <w:trPr>
          <w:gridAfter w:val="2"/>
          <w:wAfter w:w="22" w:type="dxa"/>
          <w:trHeight w:val="1550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CAE399" w14:textId="0EC6F079" w:rsidR="00261EB3" w:rsidRPr="00886B8D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b/>
                <w:bCs/>
                <w:u w:val="single"/>
                <w:lang w:eastAsia="pl-PL"/>
              </w:rPr>
            </w:pPr>
            <w:bookmarkStart w:id="0" w:name="maindiv"/>
            <w:bookmarkEnd w:id="0"/>
            <w:r w:rsidRPr="00261EB3">
              <w:rPr>
                <w:rFonts w:eastAsia="Times New Roman" w:cs="Times New Roman"/>
                <w:b/>
                <w:bCs/>
                <w:sz w:val="22"/>
                <w:u w:val="single"/>
                <w:lang w:eastAsia="pl-PL"/>
              </w:rPr>
              <w:t xml:space="preserve"> </w:t>
            </w:r>
            <w:r w:rsidRPr="00261EB3">
              <w:rPr>
                <w:rFonts w:eastAsia="Times New Roman" w:cs="Times New Roman"/>
                <w:sz w:val="22"/>
                <w:lang w:eastAsia="pl-PL"/>
              </w:rPr>
              <w:t>• Geneza i rozwój praw człowieka i systemu ich ochrony</w:t>
            </w:r>
          </w:p>
          <w:p w14:paraId="008A2CAB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Generacje praw człowieka</w:t>
            </w:r>
          </w:p>
          <w:p w14:paraId="4FE0458E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Kategorie praw człowieka;</w:t>
            </w:r>
          </w:p>
          <w:p w14:paraId="69D94395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Ochrona praw człowieka: w znaczeniu wąskim i szerokim; uprzednia i następcza;</w:t>
            </w:r>
          </w:p>
          <w:p w14:paraId="4F029F1E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Podstawowe pojęcia: wolności, prawa i obowiązki człowieka i obywatela</w:t>
            </w:r>
          </w:p>
          <w:p w14:paraId="329F22A2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Charakterystyka systemów międzynarodowej ochrony praw człowieka: systemu uniwersalnego oraz systemów regionalnych</w:t>
            </w:r>
          </w:p>
          <w:p w14:paraId="1E006770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Instytucje i środki ochrony przestrzegania praw człowieka w każdym z systemów ochrony praw człowieka</w:t>
            </w:r>
          </w:p>
          <w:p w14:paraId="108CEB36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Analiza treści zasadniczych aktów prawnych z zakresu ochrony praw człowieka m.in. Karty Narodów Zjednoczonych, Powszechnej Deklaracji Praw Człowieka, Międzynarodowego Paktu Praw Obywatelskich i Politycznych, Międzynarodowego Paktu Praw Ekonomicznych, Socjalnych i Kulturalnych, Europejskiej Konwencji o Ochronie Praw Człowieka i Podstawowych Wolności</w:t>
            </w:r>
          </w:p>
          <w:p w14:paraId="092840F3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System ochrony wolności i praw człowieka i obywatela w Konstytucji Rzeczypospolitej Polskiej z dnia 2 kwietnia 1997 r.</w:t>
            </w:r>
          </w:p>
          <w:p w14:paraId="685064F2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Skarga do Europejskiego Trybunału Praw Człowieka - warunki dopuszczalności skargi: kryteria formalne, proceduralne podstawy niedopuszczalności, podstawy niedopuszczalności odnoszące się do właściwości Trybunału, niedopuszczalność oparta na meritum sprawy, formularz skargi</w:t>
            </w:r>
          </w:p>
          <w:p w14:paraId="6F3D7A5E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Konstytucyjne środki ochrony wolności i praw w Polsce</w:t>
            </w:r>
          </w:p>
          <w:p w14:paraId="248C5BEA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 xml:space="preserve">• Analiza standardów przestrzegania poszczególnych praw w systemie krajowym i systemach międzynarodowych w oparciu o orzecznictwo </w:t>
            </w:r>
            <w:proofErr w:type="spellStart"/>
            <w:r w:rsidRPr="00261EB3">
              <w:rPr>
                <w:rFonts w:eastAsia="Times New Roman" w:cs="Times New Roman"/>
                <w:sz w:val="22"/>
                <w:lang w:eastAsia="pl-PL"/>
              </w:rPr>
              <w:t>ETPCz</w:t>
            </w:r>
            <w:proofErr w:type="spellEnd"/>
            <w:r w:rsidRPr="00261EB3">
              <w:rPr>
                <w:rFonts w:eastAsia="Times New Roman" w:cs="Times New Roman"/>
                <w:sz w:val="22"/>
                <w:lang w:eastAsia="pl-PL"/>
              </w:rPr>
              <w:t xml:space="preserve">, </w:t>
            </w:r>
            <w:proofErr w:type="spellStart"/>
            <w:r w:rsidRPr="00261EB3">
              <w:rPr>
                <w:rFonts w:eastAsia="Times New Roman" w:cs="Times New Roman"/>
                <w:sz w:val="22"/>
                <w:lang w:eastAsia="pl-PL"/>
              </w:rPr>
              <w:t>KPCz</w:t>
            </w:r>
            <w:proofErr w:type="spellEnd"/>
            <w:r w:rsidRPr="00261EB3">
              <w:rPr>
                <w:rFonts w:eastAsia="Times New Roman" w:cs="Times New Roman"/>
                <w:sz w:val="22"/>
                <w:lang w:eastAsia="pl-PL"/>
              </w:rPr>
              <w:t xml:space="preserve">, ETS. </w:t>
            </w:r>
          </w:p>
          <w:p w14:paraId="37AEEBE9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 xml:space="preserve">• Pojęcie etyki i moralności. </w:t>
            </w:r>
          </w:p>
          <w:p w14:paraId="4C9D238F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 xml:space="preserve">• Rozwój myśli etycznej. </w:t>
            </w:r>
          </w:p>
          <w:p w14:paraId="4369FD97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lastRenderedPageBreak/>
              <w:t xml:space="preserve">• Uregulowania prawne z zakresu etyki służby publicznej w Polsce, </w:t>
            </w:r>
          </w:p>
          <w:p w14:paraId="65C4B86D" w14:textId="7673DEF5" w:rsidR="00706E28" w:rsidRPr="00886B8D" w:rsidRDefault="00261EB3" w:rsidP="00886B8D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Analiza i porównanie uregulowań poszczególnych etyk zawodowych: etyka funkcjonariuszy Policji, S</w:t>
            </w:r>
            <w:r w:rsidR="00CE1E3C">
              <w:rPr>
                <w:rFonts w:eastAsia="Times New Roman" w:cs="Times New Roman"/>
                <w:sz w:val="22"/>
                <w:lang w:eastAsia="pl-PL"/>
              </w:rPr>
              <w:t xml:space="preserve">traży Granicznej, Służby Ochrony Państwa, Służby </w:t>
            </w:r>
            <w:proofErr w:type="spellStart"/>
            <w:r w:rsidR="00CE1E3C">
              <w:rPr>
                <w:rFonts w:eastAsia="Times New Roman" w:cs="Times New Roman"/>
                <w:sz w:val="22"/>
                <w:lang w:eastAsia="pl-PL"/>
              </w:rPr>
              <w:t>Celno</w:t>
            </w:r>
            <w:proofErr w:type="spellEnd"/>
            <w:r w:rsidR="00CE1E3C">
              <w:rPr>
                <w:rFonts w:eastAsia="Times New Roman" w:cs="Times New Roman"/>
                <w:sz w:val="22"/>
                <w:lang w:eastAsia="pl-PL"/>
              </w:rPr>
              <w:t xml:space="preserve"> – Skarbowej, Agencji Bezpieczeństwa Wewnętrznego, Centralnego Biura Antykorupcyjnego. 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426FB" w14:textId="77777777" w:rsidR="00471797" w:rsidRDefault="00471797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417E2C8E" w14:textId="0E65E7A2" w:rsidR="00886B8D" w:rsidRDefault="00886B8D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6E296DF0" w14:textId="77777777" w:rsidR="00886B8D" w:rsidRDefault="00886B8D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27DF9A75" w14:textId="77777777" w:rsidR="00886B8D" w:rsidRDefault="00886B8D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3C205D1F" w14:textId="77777777" w:rsidR="00886B8D" w:rsidRDefault="00886B8D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06C23A56" w14:textId="77777777" w:rsidR="00886B8D" w:rsidRDefault="00886B8D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391D8B9C" w14:textId="77777777" w:rsidR="00886B8D" w:rsidRDefault="00886B8D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3612789D" w14:textId="77777777" w:rsidR="00886B8D" w:rsidRDefault="00886B8D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7CAF1BB1" w14:textId="77777777" w:rsidR="00886B8D" w:rsidRDefault="00886B8D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251366E9" w14:textId="77777777" w:rsidR="00886B8D" w:rsidRDefault="00886B8D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164F47F2" w14:textId="77777777" w:rsidR="00886B8D" w:rsidRDefault="00886B8D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446A5150" w14:textId="77777777" w:rsidR="00886B8D" w:rsidRDefault="00886B8D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45AD58B2" w14:textId="77777777" w:rsidR="00886B8D" w:rsidRDefault="00886B8D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39B84EEA" w14:textId="26307F8E" w:rsidR="00471797" w:rsidRDefault="00886B8D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</w:t>
            </w:r>
            <w:r w:rsidR="00471797"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01, W</w:t>
            </w:r>
            <w:proofErr w:type="gramStart"/>
            <w:r w:rsidR="00471797"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02,W</w:t>
            </w:r>
            <w:proofErr w:type="gramEnd"/>
            <w:r w:rsidR="00471797"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03, U01, U02,</w:t>
            </w: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U03,</w:t>
            </w:r>
            <w:r w:rsidR="00471797"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 xml:space="preserve"> K01, K02, K03</w:t>
            </w: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,K04,K05,K06</w:t>
            </w:r>
          </w:p>
          <w:p w14:paraId="6EB837C7" w14:textId="77777777" w:rsidR="00471797" w:rsidRDefault="00471797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532E4631" w14:textId="77777777" w:rsidR="003C593D" w:rsidRPr="0089044A" w:rsidRDefault="003C593D" w:rsidP="00886B8D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42F08B3D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B5D21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Zalecana literatura i pomoce naukowe</w:t>
            </w:r>
          </w:p>
        </w:tc>
      </w:tr>
      <w:tr w:rsidR="00E21C7D" w:rsidRPr="0089044A" w14:paraId="1BFFDB84" w14:textId="77777777" w:rsidTr="006239F9">
        <w:trPr>
          <w:gridAfter w:val="2"/>
          <w:wAfter w:w="22" w:type="dxa"/>
          <w:trHeight w:val="2220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A6B3E" w14:textId="77777777" w:rsidR="00E21C7D" w:rsidRDefault="00E21C7D" w:rsidP="00E21C7D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</w:pPr>
            <w:r w:rsidRPr="0089044A"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  <w:t>Literatura podstawowa</w:t>
            </w:r>
          </w:p>
          <w:p w14:paraId="4145871B" w14:textId="77777777" w:rsidR="00CE1E3C" w:rsidRDefault="00982692" w:rsidP="00CE1E3C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proofErr w:type="spellStart"/>
            <w:r w:rsidRPr="00CE1E3C">
              <w:rPr>
                <w:rFonts w:eastAsia="Times New Roman" w:cs="Times New Roman"/>
                <w:szCs w:val="24"/>
                <w:lang w:eastAsia="pl-PL"/>
              </w:rPr>
              <w:t>D.Bieńkowska</w:t>
            </w:r>
            <w:proofErr w:type="spellEnd"/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, </w:t>
            </w:r>
            <w:proofErr w:type="spellStart"/>
            <w:proofErr w:type="gramStart"/>
            <w:r w:rsidRPr="00CE1E3C">
              <w:rPr>
                <w:rFonts w:eastAsia="Times New Roman" w:cs="Times New Roman"/>
                <w:szCs w:val="24"/>
                <w:lang w:eastAsia="pl-PL"/>
              </w:rPr>
              <w:t>R.Kozłowski</w:t>
            </w:r>
            <w:proofErr w:type="spellEnd"/>
            <w:proofErr w:type="gramEnd"/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 (red.), Prawa człowieka i ludzkie bezpie</w:t>
            </w:r>
            <w:r w:rsidR="00DB4AD4" w:rsidRPr="00CE1E3C">
              <w:rPr>
                <w:rFonts w:eastAsia="Times New Roman" w:cs="Times New Roman"/>
                <w:szCs w:val="24"/>
                <w:lang w:eastAsia="pl-PL"/>
              </w:rPr>
              <w:t>c</w:t>
            </w:r>
            <w:r w:rsidRPr="00CE1E3C">
              <w:rPr>
                <w:rFonts w:eastAsia="Times New Roman" w:cs="Times New Roman"/>
                <w:szCs w:val="24"/>
                <w:lang w:eastAsia="pl-PL"/>
              </w:rPr>
              <w:t>zeństwo. Osiągnięcia i wyzwania w 70 Rocznicę Ogłoszenia Powszechnej Deklara</w:t>
            </w:r>
            <w:r w:rsidR="00DB4AD4" w:rsidRPr="00CE1E3C">
              <w:rPr>
                <w:rFonts w:eastAsia="Times New Roman" w:cs="Times New Roman"/>
                <w:szCs w:val="24"/>
                <w:lang w:eastAsia="pl-PL"/>
              </w:rPr>
              <w:t>cji Praw Człowieka. Warszawa 201</w:t>
            </w:r>
            <w:r w:rsidRPr="00CE1E3C">
              <w:rPr>
                <w:rFonts w:eastAsia="Times New Roman" w:cs="Times New Roman"/>
                <w:szCs w:val="24"/>
                <w:lang w:eastAsia="pl-PL"/>
              </w:rPr>
              <w:t>9.</w:t>
            </w:r>
          </w:p>
          <w:p w14:paraId="0D33B788" w14:textId="77777777" w:rsidR="00CE1E3C" w:rsidRDefault="00DB4AD4" w:rsidP="00CE1E3C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proofErr w:type="spellStart"/>
            <w:proofErr w:type="gramStart"/>
            <w:r w:rsidRPr="00CE1E3C">
              <w:rPr>
                <w:rFonts w:eastAsia="Times New Roman" w:cs="Times New Roman"/>
                <w:szCs w:val="24"/>
                <w:lang w:eastAsia="pl-PL"/>
              </w:rPr>
              <w:t>W.Brzozowski</w:t>
            </w:r>
            <w:proofErr w:type="spellEnd"/>
            <w:proofErr w:type="gramEnd"/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, </w:t>
            </w:r>
            <w:proofErr w:type="spellStart"/>
            <w:r w:rsidRPr="00CE1E3C">
              <w:rPr>
                <w:rFonts w:eastAsia="Times New Roman" w:cs="Times New Roman"/>
                <w:szCs w:val="24"/>
                <w:lang w:eastAsia="pl-PL"/>
              </w:rPr>
              <w:t>A.Krzywoń</w:t>
            </w:r>
            <w:proofErr w:type="spellEnd"/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, </w:t>
            </w:r>
            <w:proofErr w:type="spellStart"/>
            <w:r w:rsidRPr="00CE1E3C">
              <w:rPr>
                <w:rFonts w:eastAsia="Times New Roman" w:cs="Times New Roman"/>
                <w:szCs w:val="24"/>
                <w:lang w:eastAsia="pl-PL"/>
              </w:rPr>
              <w:t>M.Wiącek</w:t>
            </w:r>
            <w:proofErr w:type="spellEnd"/>
            <w:r w:rsidRPr="00CE1E3C">
              <w:rPr>
                <w:rFonts w:eastAsia="Times New Roman" w:cs="Times New Roman"/>
                <w:szCs w:val="24"/>
                <w:lang w:eastAsia="pl-PL"/>
              </w:rPr>
              <w:t>, Prawa człowieka, Warszawa 2019.</w:t>
            </w:r>
          </w:p>
          <w:p w14:paraId="210B2DAA" w14:textId="77777777" w:rsidR="00CE1E3C" w:rsidRDefault="00CE1E3C" w:rsidP="00CE1E3C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Banaszak B., Bisztyga A., </w:t>
            </w:r>
            <w:proofErr w:type="spellStart"/>
            <w:r w:rsidRPr="00CE1E3C">
              <w:rPr>
                <w:rFonts w:eastAsia="Times New Roman" w:cs="Times New Roman"/>
                <w:szCs w:val="24"/>
                <w:lang w:eastAsia="pl-PL"/>
              </w:rPr>
              <w:t>Complak</w:t>
            </w:r>
            <w:proofErr w:type="spellEnd"/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 K., Jabłoński M., Wieruszewski R., Wójtowicz K., System ochrony praw człowieka, Zakamycze 2003.</w:t>
            </w:r>
          </w:p>
          <w:p w14:paraId="7D21D18B" w14:textId="77777777" w:rsidR="00CE1E3C" w:rsidRDefault="00CE1E3C" w:rsidP="00CE1E3C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Gronowska B., </w:t>
            </w:r>
            <w:proofErr w:type="spellStart"/>
            <w:r w:rsidRPr="00CE1E3C">
              <w:rPr>
                <w:rFonts w:eastAsia="Times New Roman" w:cs="Times New Roman"/>
                <w:szCs w:val="24"/>
                <w:lang w:eastAsia="pl-PL"/>
              </w:rPr>
              <w:t>Jasudowicz</w:t>
            </w:r>
            <w:proofErr w:type="spellEnd"/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 T., Balcerzak M., </w:t>
            </w:r>
            <w:proofErr w:type="spellStart"/>
            <w:r w:rsidRPr="00CE1E3C">
              <w:rPr>
                <w:rFonts w:eastAsia="Times New Roman" w:cs="Times New Roman"/>
                <w:szCs w:val="24"/>
                <w:lang w:eastAsia="pl-PL"/>
              </w:rPr>
              <w:t>Lubiszewski</w:t>
            </w:r>
            <w:proofErr w:type="spellEnd"/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 M., Mizerski R., Prawa człowieka i ich ochrona. Podręcznik dla studentów prawa i administracji, Toruń 2005.</w:t>
            </w:r>
          </w:p>
          <w:p w14:paraId="526D38FC" w14:textId="30827786" w:rsidR="00CE1E3C" w:rsidRDefault="00CE1E3C" w:rsidP="00CE1E3C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CE1E3C">
              <w:rPr>
                <w:rFonts w:eastAsia="Times New Roman" w:cs="Times New Roman"/>
                <w:szCs w:val="24"/>
                <w:lang w:eastAsia="pl-PL"/>
              </w:rPr>
              <w:t>Jabłoński M., Jarosz-Żukowska S., Prawa człowieka i system ich ochrony. Zarys wykładu, Wrocław 2010.</w:t>
            </w:r>
          </w:p>
          <w:p w14:paraId="18300E9F" w14:textId="00EC7110" w:rsidR="00CE1E3C" w:rsidRPr="00CE1E3C" w:rsidRDefault="00CE1E3C" w:rsidP="00CE1E3C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>
              <w:rPr>
                <w:rFonts w:eastAsia="Times New Roman" w:cs="Times New Roman"/>
                <w:szCs w:val="24"/>
                <w:lang w:eastAsia="pl-PL"/>
              </w:rPr>
              <w:t xml:space="preserve">Akty prawa wewnętrznego (kodeksy, zasady etyczne) poszczególnych służb państwowych. </w:t>
            </w:r>
          </w:p>
          <w:p w14:paraId="67B48484" w14:textId="77777777" w:rsidR="00CE1E3C" w:rsidRPr="003C593D" w:rsidRDefault="00CE1E3C" w:rsidP="00CE1E3C">
            <w:pPr>
              <w:spacing w:line="240" w:lineRule="auto"/>
              <w:ind w:left="1440"/>
              <w:jc w:val="left"/>
              <w:rPr>
                <w:rFonts w:eastAsia="Times New Roman" w:cs="Times New Roman"/>
                <w:szCs w:val="24"/>
                <w:lang w:eastAsia="pl-PL"/>
              </w:rPr>
            </w:pPr>
          </w:p>
          <w:p w14:paraId="4C57F93F" w14:textId="77777777" w:rsidR="00E21C7D" w:rsidRPr="0089044A" w:rsidRDefault="00E21C7D" w:rsidP="00E21C7D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sz w:val="16"/>
                <w:szCs w:val="24"/>
                <w:lang w:eastAsia="pl-PL"/>
              </w:rPr>
            </w:pPr>
          </w:p>
          <w:p w14:paraId="6601BD2D" w14:textId="77777777" w:rsidR="00E21C7D" w:rsidRDefault="00E21C7D" w:rsidP="00E21C7D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</w:pPr>
            <w:r w:rsidRPr="0089044A"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  <w:t>Literatura uzupełniająca</w:t>
            </w:r>
          </w:p>
          <w:p w14:paraId="62A630C3" w14:textId="77777777" w:rsidR="00CE1E3C" w:rsidRDefault="00CE1E3C" w:rsidP="00CE1E3C">
            <w:pPr>
              <w:pStyle w:val="Akapitzlist"/>
              <w:numPr>
                <w:ilvl w:val="0"/>
                <w:numId w:val="9"/>
              </w:numPr>
              <w:spacing w:after="90" w:line="240" w:lineRule="auto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CE1E3C">
              <w:rPr>
                <w:rFonts w:eastAsia="Times New Roman" w:cs="Times New Roman"/>
                <w:szCs w:val="24"/>
                <w:lang w:eastAsia="pl-PL"/>
              </w:rPr>
              <w:t>Orzecznictwo Komitetu Praw Człowieka</w:t>
            </w:r>
          </w:p>
          <w:p w14:paraId="408267C3" w14:textId="36CC9CC0" w:rsidR="00CE1E3C" w:rsidRPr="00CE1E3C" w:rsidRDefault="00CE1E3C" w:rsidP="00CE1E3C">
            <w:pPr>
              <w:pStyle w:val="Akapitzlist"/>
              <w:numPr>
                <w:ilvl w:val="0"/>
                <w:numId w:val="9"/>
              </w:numPr>
              <w:spacing w:after="90" w:line="240" w:lineRule="auto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proofErr w:type="spellStart"/>
            <w:r w:rsidRPr="00CE1E3C">
              <w:rPr>
                <w:rFonts w:eastAsia="Times New Roman" w:cs="Times New Roman"/>
                <w:szCs w:val="24"/>
                <w:lang w:eastAsia="pl-PL"/>
              </w:rPr>
              <w:t>M.</w:t>
            </w:r>
            <w:proofErr w:type="gramStart"/>
            <w:r w:rsidRPr="00CE1E3C">
              <w:rPr>
                <w:rFonts w:eastAsia="Times New Roman" w:cs="Times New Roman"/>
                <w:szCs w:val="24"/>
                <w:lang w:eastAsia="pl-PL"/>
              </w:rPr>
              <w:t>A.Nowicki</w:t>
            </w:r>
            <w:proofErr w:type="spellEnd"/>
            <w:proofErr w:type="gramEnd"/>
            <w:r w:rsidRPr="00CE1E3C">
              <w:rPr>
                <w:rFonts w:eastAsia="Times New Roman" w:cs="Times New Roman"/>
                <w:szCs w:val="24"/>
                <w:lang w:eastAsia="pl-PL"/>
              </w:rPr>
              <w:t>, Europejski Trybunał Praw Człowieka. Wybór orzecznictwa</w:t>
            </w:r>
          </w:p>
          <w:p w14:paraId="0BF2BAD3" w14:textId="30279F31" w:rsidR="005A2A3B" w:rsidRPr="005A2A3B" w:rsidRDefault="005A2A3B" w:rsidP="00CE1E3C">
            <w:pPr>
              <w:pStyle w:val="Akapitzlist"/>
              <w:spacing w:line="240" w:lineRule="auto"/>
              <w:ind w:left="1080"/>
              <w:jc w:val="left"/>
              <w:rPr>
                <w:rFonts w:ascii="Verdana" w:eastAsia="Batang" w:hAnsi="Verdana" w:cs="NimbusRomNo9L-Regu"/>
                <w:sz w:val="16"/>
                <w:szCs w:val="16"/>
                <w:lang w:eastAsia="ko-KR" w:bidi="he-IL"/>
              </w:rPr>
            </w:pPr>
          </w:p>
          <w:p w14:paraId="79F5F4C2" w14:textId="77777777" w:rsidR="005A2A3B" w:rsidRPr="0089044A" w:rsidRDefault="005A2A3B" w:rsidP="00E21C7D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</w:pPr>
          </w:p>
          <w:p w14:paraId="6BBBBAF3" w14:textId="77777777" w:rsidR="00E21C7D" w:rsidRPr="0089044A" w:rsidRDefault="00E21C7D" w:rsidP="00E21C7D">
            <w:pPr>
              <w:keepNext/>
              <w:spacing w:line="240" w:lineRule="auto"/>
              <w:outlineLvl w:val="7"/>
              <w:rPr>
                <w:rFonts w:ascii="Calibri" w:eastAsia="Batang" w:hAnsi="Calibri" w:cs="NimbusRomNo9L-Regu"/>
                <w:color w:val="000000"/>
                <w:kern w:val="1"/>
                <w:sz w:val="20"/>
                <w:szCs w:val="20"/>
                <w:lang w:eastAsia="ko-KR" w:bidi="he-IL"/>
              </w:rPr>
            </w:pPr>
          </w:p>
        </w:tc>
      </w:tr>
      <w:tr w:rsidR="00E21C7D" w:rsidRPr="0089044A" w14:paraId="0CFA786E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50555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Bilans punktów ECTS</w:t>
            </w:r>
          </w:p>
        </w:tc>
      </w:tr>
      <w:tr w:rsidR="00E21C7D" w:rsidRPr="0089044A" w14:paraId="51999F47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EAD2AC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nakładu pracy studenta</w:t>
            </w:r>
          </w:p>
          <w:p w14:paraId="6EA111F5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(udział w zajęciach, aktywność, przygotowanie sprawozdania, itp.)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ADF69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Obciążenie studenta [h]</w:t>
            </w:r>
          </w:p>
        </w:tc>
      </w:tr>
      <w:tr w:rsidR="00E21C7D" w:rsidRPr="0089044A" w14:paraId="0C7E758D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0425C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realizowanych przy bezpośrednim udziale nauczyciela akademickiego</w:t>
            </w:r>
          </w:p>
        </w:tc>
      </w:tr>
      <w:tr w:rsidR="00E21C7D" w:rsidRPr="0089044A" w14:paraId="1DDAC5FB" w14:textId="77777777" w:rsidTr="007D05FB">
        <w:trPr>
          <w:gridAfter w:val="2"/>
          <w:wAfter w:w="22" w:type="dxa"/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0698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E436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Times New Roman"/>
                <w:kern w:val="1"/>
                <w:sz w:val="20"/>
                <w:szCs w:val="20"/>
              </w:rPr>
            </w:pPr>
            <w:r w:rsidRPr="0089044A">
              <w:rPr>
                <w:rFonts w:ascii="Calibri" w:eastAsia="Calibri" w:hAnsi="Calibri" w:cs="Times New Roman"/>
                <w:kern w:val="1"/>
                <w:sz w:val="20"/>
                <w:szCs w:val="20"/>
              </w:rPr>
              <w:t>Udział w wykładach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D9A71" w14:textId="15576C20" w:rsidR="00E21C7D" w:rsidRPr="0089044A" w:rsidRDefault="00261EB3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5</w:t>
            </w:r>
          </w:p>
        </w:tc>
      </w:tr>
      <w:tr w:rsidR="00E21C7D" w:rsidRPr="0089044A" w14:paraId="07E73166" w14:textId="77777777" w:rsidTr="007D05FB">
        <w:trPr>
          <w:gridAfter w:val="2"/>
          <w:wAfter w:w="22" w:type="dxa"/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9FB6F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FB594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konwersatoriach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5CA1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491FBAA1" w14:textId="77777777" w:rsidTr="007D05FB">
        <w:trPr>
          <w:gridAfter w:val="2"/>
          <w:wAfter w:w="22" w:type="dxa"/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EC363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A82B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ćwiczeniach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4459F" w14:textId="6D4EBBF4" w:rsidR="00E21C7D" w:rsidRPr="0089044A" w:rsidRDefault="00970C0A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</w:t>
            </w:r>
            <w:r w:rsidR="00261EB3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0</w:t>
            </w:r>
          </w:p>
        </w:tc>
      </w:tr>
      <w:tr w:rsidR="00E21C7D" w:rsidRPr="0089044A" w14:paraId="49E249DE" w14:textId="77777777" w:rsidTr="007D05FB">
        <w:trPr>
          <w:gridAfter w:val="2"/>
          <w:wAfter w:w="22" w:type="dxa"/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47927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AF996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zajęciach laboratoryjnych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5A9D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1221FFFE" w14:textId="77777777" w:rsidTr="007D05FB">
        <w:trPr>
          <w:gridAfter w:val="2"/>
          <w:wAfter w:w="22" w:type="dxa"/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8A78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FFD19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Udział w konsultacjach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D891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2ED7A382" w14:textId="77777777" w:rsidTr="007D05FB">
        <w:trPr>
          <w:gridAfter w:val="2"/>
          <w:wAfter w:w="22" w:type="dxa"/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680A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6338A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egzaminie/kolokwium zaliczeniowym przedmiotu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217CC" w14:textId="77777777" w:rsidR="00E21C7D" w:rsidRPr="0089044A" w:rsidRDefault="00970C0A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4</w:t>
            </w:r>
          </w:p>
        </w:tc>
      </w:tr>
      <w:tr w:rsidR="00E21C7D" w:rsidRPr="0089044A" w14:paraId="103B928E" w14:textId="77777777" w:rsidTr="007D05FB">
        <w:trPr>
          <w:gridAfter w:val="2"/>
          <w:wAfter w:w="22" w:type="dxa"/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A8871F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4826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C671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077254E1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1F939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1.8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2DCEB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realizowanych przy bezpośrednim udziale nauczyciela akademickiego (suma pozycji 1.1 – 1.7)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1FBB5" w14:textId="1D5AECEF" w:rsidR="00E21C7D" w:rsidRPr="0089044A" w:rsidRDefault="00261EB3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19</w:t>
            </w:r>
          </w:p>
        </w:tc>
      </w:tr>
      <w:tr w:rsidR="00E21C7D" w:rsidRPr="0089044A" w14:paraId="78814E2A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2EF49C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1.9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AD957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punktów ECTS, uzyskiwanych przez studenta podczas zajęć wymagających bezpośredniego udziału nauczyciela akademickiego)</w:t>
            </w:r>
          </w:p>
          <w:p w14:paraId="3A20C230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66E47" w14:textId="01328D57" w:rsidR="00E21C7D" w:rsidRPr="0089044A" w:rsidRDefault="00970C0A" w:rsidP="00970C0A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0,</w:t>
            </w:r>
            <w:r w:rsidR="00EC119C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76</w:t>
            </w:r>
          </w:p>
        </w:tc>
      </w:tr>
      <w:tr w:rsidR="00E21C7D" w:rsidRPr="0089044A" w14:paraId="142E1FE4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0A03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Samodzielna praca studenta</w:t>
            </w:r>
          </w:p>
        </w:tc>
      </w:tr>
      <w:tr w:rsidR="00E21C7D" w:rsidRPr="0089044A" w14:paraId="724F5493" w14:textId="77777777" w:rsidTr="007D05FB">
        <w:trPr>
          <w:gridAfter w:val="2"/>
          <w:wAfter w:w="22" w:type="dxa"/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8A281F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2133C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wykładów, ćwiczeń, kolokwiów, sprawozdań, raportów, prac semestralnych, itp.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8ED2A" w14:textId="5BB4148A" w:rsidR="00E21C7D" w:rsidRPr="0089044A" w:rsidRDefault="00EC119C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10</w:t>
            </w:r>
          </w:p>
        </w:tc>
      </w:tr>
      <w:tr w:rsidR="00E21C7D" w:rsidRPr="0089044A" w14:paraId="1DAB4697" w14:textId="77777777" w:rsidTr="007D05FB">
        <w:trPr>
          <w:gridAfter w:val="2"/>
          <w:wAfter w:w="22" w:type="dxa"/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6C6FF4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0FDADB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Realizacja samodzielnie wykonywanych zadań zlecanych przez prowadzącego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B6A9" w14:textId="77777777" w:rsidR="00E21C7D" w:rsidRPr="0089044A" w:rsidRDefault="0053739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38</w:t>
            </w:r>
          </w:p>
        </w:tc>
      </w:tr>
      <w:tr w:rsidR="00E21C7D" w:rsidRPr="0089044A" w14:paraId="4EFDB5CE" w14:textId="77777777" w:rsidTr="007D05FB">
        <w:trPr>
          <w:gridAfter w:val="2"/>
          <w:wAfter w:w="22" w:type="dxa"/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BFD67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9445C3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kolokwium końcowego z ćwiczeń/laboratorium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52733" w14:textId="77777777" w:rsidR="00E21C7D" w:rsidRPr="0089044A" w:rsidRDefault="0053739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4</w:t>
            </w:r>
          </w:p>
        </w:tc>
      </w:tr>
      <w:tr w:rsidR="00E21C7D" w:rsidRPr="0089044A" w14:paraId="239EED91" w14:textId="77777777" w:rsidTr="007D05FB">
        <w:trPr>
          <w:gridAfter w:val="2"/>
          <w:wAfter w:w="22" w:type="dxa"/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347759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D39787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egzaminu/kolokwium końcowego z wykładów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8FC2C" w14:textId="77777777" w:rsidR="00E21C7D" w:rsidRPr="0089044A" w:rsidRDefault="0053739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4</w:t>
            </w:r>
          </w:p>
        </w:tc>
      </w:tr>
      <w:tr w:rsidR="00E21C7D" w:rsidRPr="0089044A" w14:paraId="7ACADDE2" w14:textId="77777777" w:rsidTr="007D05FB">
        <w:trPr>
          <w:gridAfter w:val="2"/>
          <w:wAfter w:w="22" w:type="dxa"/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0C9564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CBDC45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E0CB9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0E150DE4" w14:textId="77777777" w:rsidTr="007D05FB">
        <w:trPr>
          <w:gridAfter w:val="2"/>
          <w:wAfter w:w="22" w:type="dxa"/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AF2EA5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9D606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samodzielnej pracy studenta (suma 2.1 –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86845" w14:textId="715BC99C" w:rsidR="00E21C7D" w:rsidRPr="0089044A" w:rsidRDefault="00970C0A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5</w:t>
            </w:r>
            <w:r w:rsidR="00EC119C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6</w:t>
            </w:r>
          </w:p>
        </w:tc>
      </w:tr>
      <w:tr w:rsidR="00E21C7D" w:rsidRPr="0089044A" w14:paraId="150899AD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C2A0B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D8CB7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Liczba punktów ECTS, uzyskiwanych przez studenta w ramach samodzielnej pracy </w:t>
            </w: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C0D57" w14:textId="793BFC46" w:rsidR="00E21C7D" w:rsidRPr="0089044A" w:rsidRDefault="00EC119C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2,24</w:t>
            </w:r>
          </w:p>
        </w:tc>
      </w:tr>
      <w:tr w:rsidR="00E21C7D" w:rsidRPr="0089044A" w14:paraId="497FC253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C37E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Sumaryczne obciążenie pracą studenta (suma 1.8+2.6)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83E6E" w14:textId="77777777" w:rsidR="00E21C7D" w:rsidRPr="0089044A" w:rsidRDefault="0053739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75</w:t>
            </w:r>
          </w:p>
        </w:tc>
      </w:tr>
      <w:tr w:rsidR="00E21C7D" w:rsidRPr="0089044A" w14:paraId="0E0129AB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4EC51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righ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Punkty ECTS za przedmiot (suma 1.9+2.7)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CD701" w14:textId="77777777" w:rsidR="00E21C7D" w:rsidRPr="0089044A" w:rsidRDefault="0053739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3</w:t>
            </w:r>
          </w:p>
        </w:tc>
      </w:tr>
      <w:tr w:rsidR="00E21C7D" w:rsidRPr="0089044A" w14:paraId="18AA219A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8329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lastRenderedPageBreak/>
              <w:t>Nakład pracy związany z zajęciami o charakterze kształtującym umiejętności praktyczne, w tym:</w:t>
            </w:r>
          </w:p>
        </w:tc>
      </w:tr>
      <w:tr w:rsidR="00E21C7D" w:rsidRPr="0089044A" w14:paraId="6ACCC516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7DAC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Zajęcia praktyczne (Wydział Nauk Medycznych)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FCE5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color w:val="FF0000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4AD3BED9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B1CE2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Zajęcia o charakterze kształtującym umiejętności praktyczne (1.2 – 1.4, 2.2 i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DD2FB" w14:textId="1558C42D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3B699AD6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D789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Praktyka zawodowa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889C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2619FD5B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5E8E5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Łączny nakład pracy związany z zajęciami o charakterze kształtującym umiejętności praktyczne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7B46" w14:textId="4DF62E6D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02751320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94621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punktów ECTS, uzyskiwanych przez studenta w ramach zajęć o charakterze kształtującym umiejętności praktyczne</w:t>
            </w:r>
          </w:p>
          <w:p w14:paraId="3AA43110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AFAD2" w14:textId="6E406D2C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10A9629C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B5504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Uwagi</w:t>
            </w:r>
          </w:p>
        </w:tc>
      </w:tr>
      <w:tr w:rsidR="00E21C7D" w:rsidRPr="0089044A" w14:paraId="12F3942D" w14:textId="77777777" w:rsidTr="006239F9">
        <w:trPr>
          <w:gridAfter w:val="2"/>
          <w:wAfter w:w="22" w:type="dxa"/>
          <w:trHeight w:val="22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8B138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712E43D9" w14:textId="77777777" w:rsidTr="007D05FB">
        <w:trPr>
          <w:gridAfter w:val="2"/>
          <w:wAfter w:w="22" w:type="dxa"/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84C3B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Strona internetowa przedmiotu:</w:t>
            </w:r>
          </w:p>
        </w:tc>
        <w:tc>
          <w:tcPr>
            <w:tcW w:w="81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12AA7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</w:tbl>
    <w:p w14:paraId="16EDCD5A" w14:textId="77777777" w:rsidR="0089044A" w:rsidRPr="0089044A" w:rsidRDefault="0089044A" w:rsidP="0089044A">
      <w:pPr>
        <w:widowControl w:val="0"/>
        <w:suppressAutoHyphens/>
        <w:spacing w:line="240" w:lineRule="auto"/>
        <w:jc w:val="left"/>
        <w:textAlignment w:val="baseline"/>
        <w:rPr>
          <w:rFonts w:ascii="Calibri" w:eastAsia="Calibri" w:hAnsi="Calibri" w:cs="Mangal"/>
          <w:kern w:val="1"/>
          <w:sz w:val="20"/>
          <w:szCs w:val="20"/>
          <w:lang w:bidi="hi-IN"/>
        </w:rPr>
      </w:pPr>
    </w:p>
    <w:p w14:paraId="3BEBB05D" w14:textId="77777777" w:rsidR="0089044A" w:rsidRPr="0089044A" w:rsidRDefault="0089044A" w:rsidP="0089044A">
      <w:pPr>
        <w:widowControl w:val="0"/>
        <w:suppressAutoHyphens/>
        <w:spacing w:line="240" w:lineRule="auto"/>
        <w:jc w:val="left"/>
        <w:textAlignment w:val="baseline"/>
        <w:rPr>
          <w:rFonts w:eastAsia="Calibri" w:cs="Times New Roman"/>
          <w:kern w:val="1"/>
          <w:sz w:val="20"/>
          <w:szCs w:val="20"/>
          <w:lang w:bidi="hi-IN"/>
        </w:rPr>
      </w:pPr>
      <w:r w:rsidRPr="0089044A">
        <w:rPr>
          <w:rFonts w:eastAsia="Calibri" w:cs="Times New Roman"/>
          <w:kern w:val="1"/>
          <w:sz w:val="20"/>
          <w:szCs w:val="20"/>
          <w:lang w:bidi="hi-IN"/>
        </w:rPr>
        <w:t>*</w:t>
      </w:r>
      <w:r w:rsidRPr="0089044A">
        <w:rPr>
          <w:rFonts w:eastAsia="SimSun" w:cs="Times New Roman"/>
          <w:kern w:val="1"/>
          <w:szCs w:val="24"/>
          <w:lang w:eastAsia="zh-CN" w:bidi="hi-IN"/>
        </w:rPr>
        <w:t xml:space="preserve"> </w:t>
      </w:r>
      <w:r w:rsidRPr="0089044A">
        <w:rPr>
          <w:rFonts w:eastAsia="Calibri" w:cs="Times New Roman"/>
          <w:kern w:val="1"/>
          <w:sz w:val="20"/>
          <w:szCs w:val="20"/>
          <w:lang w:bidi="hi-IN"/>
        </w:rPr>
        <w:t xml:space="preserve">odniesienie kierunkowych efektów uczenia się zgodnych z Ustawą z dnia 22 grudnia 2015 roku </w:t>
      </w:r>
      <w:r w:rsidRPr="0089044A">
        <w:rPr>
          <w:rFonts w:eastAsia="Calibri" w:cs="Times New Roman"/>
          <w:i/>
          <w:kern w:val="1"/>
          <w:sz w:val="20"/>
          <w:szCs w:val="20"/>
          <w:lang w:bidi="hi-IN"/>
        </w:rPr>
        <w:t>o Zintegrowanym Systemie Kwalifikacj</w:t>
      </w:r>
      <w:r w:rsidRPr="0089044A">
        <w:rPr>
          <w:rFonts w:eastAsia="Calibri" w:cs="Times New Roman"/>
          <w:kern w:val="1"/>
          <w:sz w:val="20"/>
          <w:szCs w:val="20"/>
          <w:lang w:bidi="hi-IN"/>
        </w:rPr>
        <w:t xml:space="preserve">i, </w:t>
      </w:r>
      <w:proofErr w:type="spellStart"/>
      <w:r w:rsidRPr="0089044A">
        <w:rPr>
          <w:rFonts w:eastAsia="Calibri" w:cs="Times New Roman"/>
          <w:kern w:val="1"/>
          <w:sz w:val="20"/>
          <w:szCs w:val="20"/>
          <w:lang w:bidi="hi-IN"/>
        </w:rPr>
        <w:t>t.j</w:t>
      </w:r>
      <w:proofErr w:type="spellEnd"/>
      <w:r w:rsidRPr="0089044A">
        <w:rPr>
          <w:rFonts w:eastAsia="Calibri" w:cs="Times New Roman"/>
          <w:kern w:val="1"/>
          <w:sz w:val="20"/>
          <w:szCs w:val="20"/>
          <w:lang w:bidi="hi-IN"/>
        </w:rPr>
        <w:t xml:space="preserve">. Dz. U. 2018, poz. 2153 oraz z Rozporządzeniem Ministra Nauki i Szkolnictwa Wyższego z dnia 14 listopada 2018 roku </w:t>
      </w:r>
      <w:r w:rsidRPr="0089044A">
        <w:rPr>
          <w:rFonts w:eastAsia="Calibri" w:cs="Times New Roman"/>
          <w:i/>
          <w:kern w:val="1"/>
          <w:sz w:val="20"/>
          <w:szCs w:val="20"/>
          <w:lang w:bidi="hi-IN"/>
        </w:rPr>
        <w:t>w sprawie charakterystyk drugiego stopnia uczenia się dla kwalifikacji na poziomach 6-8 Polskiej Ramy Kwalifikacji</w:t>
      </w:r>
      <w:r w:rsidRPr="0089044A">
        <w:rPr>
          <w:rFonts w:eastAsia="Calibri" w:cs="Times New Roman"/>
          <w:kern w:val="1"/>
          <w:sz w:val="20"/>
          <w:szCs w:val="20"/>
          <w:lang w:bidi="hi-IN"/>
        </w:rPr>
        <w:t>, Dz. U. 2018, poz. 2218.</w:t>
      </w:r>
    </w:p>
    <w:p w14:paraId="5BD9C23D" w14:textId="77777777" w:rsidR="009320E8" w:rsidRDefault="009320E8"/>
    <w:sectPr w:rsidR="009320E8" w:rsidSect="00FC292F">
      <w:pgSz w:w="11906" w:h="16838"/>
      <w:pgMar w:top="851" w:right="1134" w:bottom="851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imbusRomNo9L-Regu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2F45"/>
    <w:multiLevelType w:val="hybridMultilevel"/>
    <w:tmpl w:val="06B21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C6D7D"/>
    <w:multiLevelType w:val="hybridMultilevel"/>
    <w:tmpl w:val="342C0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B2463"/>
    <w:multiLevelType w:val="hybridMultilevel"/>
    <w:tmpl w:val="30102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D1D47"/>
    <w:multiLevelType w:val="hybridMultilevel"/>
    <w:tmpl w:val="A2481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E205B"/>
    <w:multiLevelType w:val="hybridMultilevel"/>
    <w:tmpl w:val="579C7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3526E"/>
    <w:multiLevelType w:val="hybridMultilevel"/>
    <w:tmpl w:val="AFAE4684"/>
    <w:lvl w:ilvl="0" w:tplc="BB66C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5F5B53"/>
    <w:multiLevelType w:val="hybridMultilevel"/>
    <w:tmpl w:val="47FACDC4"/>
    <w:lvl w:ilvl="0" w:tplc="72549B3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7187D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0E0020"/>
    <w:multiLevelType w:val="hybridMultilevel"/>
    <w:tmpl w:val="17D82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A46DB"/>
    <w:multiLevelType w:val="hybridMultilevel"/>
    <w:tmpl w:val="165E9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156010">
    <w:abstractNumId w:val="0"/>
  </w:num>
  <w:num w:numId="2" w16cid:durableId="970094332">
    <w:abstractNumId w:val="8"/>
  </w:num>
  <w:num w:numId="3" w16cid:durableId="948657454">
    <w:abstractNumId w:val="7"/>
  </w:num>
  <w:num w:numId="4" w16cid:durableId="1885175365">
    <w:abstractNumId w:val="2"/>
  </w:num>
  <w:num w:numId="5" w16cid:durableId="1580366875">
    <w:abstractNumId w:val="4"/>
  </w:num>
  <w:num w:numId="6" w16cid:durableId="1549301439">
    <w:abstractNumId w:val="6"/>
  </w:num>
  <w:num w:numId="7" w16cid:durableId="1967394723">
    <w:abstractNumId w:val="5"/>
  </w:num>
  <w:num w:numId="8" w16cid:durableId="354039096">
    <w:abstractNumId w:val="1"/>
  </w:num>
  <w:num w:numId="9" w16cid:durableId="9317375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044A"/>
    <w:rsid w:val="000759C8"/>
    <w:rsid w:val="00086E34"/>
    <w:rsid w:val="000B6F14"/>
    <w:rsid w:val="00117E5C"/>
    <w:rsid w:val="001414EF"/>
    <w:rsid w:val="00156CC0"/>
    <w:rsid w:val="001F7255"/>
    <w:rsid w:val="00261EB3"/>
    <w:rsid w:val="0030056D"/>
    <w:rsid w:val="00355DE1"/>
    <w:rsid w:val="003C593D"/>
    <w:rsid w:val="00471797"/>
    <w:rsid w:val="004906AC"/>
    <w:rsid w:val="004F3E1A"/>
    <w:rsid w:val="0053739D"/>
    <w:rsid w:val="005A2A3B"/>
    <w:rsid w:val="0061770A"/>
    <w:rsid w:val="0066658F"/>
    <w:rsid w:val="006F5B2B"/>
    <w:rsid w:val="00706E28"/>
    <w:rsid w:val="00770B4A"/>
    <w:rsid w:val="007A0198"/>
    <w:rsid w:val="007D05FB"/>
    <w:rsid w:val="0081321F"/>
    <w:rsid w:val="00886B8D"/>
    <w:rsid w:val="0089044A"/>
    <w:rsid w:val="008D19F9"/>
    <w:rsid w:val="009129DC"/>
    <w:rsid w:val="009320E8"/>
    <w:rsid w:val="00970C0A"/>
    <w:rsid w:val="00982692"/>
    <w:rsid w:val="00A8570A"/>
    <w:rsid w:val="00CA651D"/>
    <w:rsid w:val="00CE1E3C"/>
    <w:rsid w:val="00D02BCA"/>
    <w:rsid w:val="00D80727"/>
    <w:rsid w:val="00DB4AD4"/>
    <w:rsid w:val="00DF63D1"/>
    <w:rsid w:val="00E05BEA"/>
    <w:rsid w:val="00E11721"/>
    <w:rsid w:val="00E21C7D"/>
    <w:rsid w:val="00EC119C"/>
    <w:rsid w:val="00F14F72"/>
    <w:rsid w:val="00FC2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3FCED"/>
  <w15:docId w15:val="{5675A61B-60A8-4670-BBB7-1D4BC2E16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B4A"/>
    <w:pPr>
      <w:spacing w:after="0" w:line="276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7D05FB"/>
    <w:pPr>
      <w:spacing w:line="240" w:lineRule="auto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7D05FB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E11721"/>
    <w:pPr>
      <w:suppressAutoHyphens/>
      <w:spacing w:before="280" w:line="240" w:lineRule="auto"/>
      <w:jc w:val="left"/>
    </w:pPr>
    <w:rPr>
      <w:rFonts w:ascii="Arial Unicode MS" w:eastAsia="Arial Unicode MS" w:hAnsi="Arial Unicode MS" w:cs="Arial Unicode MS"/>
      <w:color w:val="99330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6658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6F14"/>
    <w:rPr>
      <w:color w:val="0563C1" w:themeColor="hyperlink"/>
      <w:u w:val="single"/>
    </w:rPr>
  </w:style>
  <w:style w:type="character" w:customStyle="1" w:styleId="wrtext">
    <w:name w:val="wrtext"/>
    <w:basedOn w:val="Domylnaczcionkaakapitu"/>
    <w:rsid w:val="00261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9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1666</Words>
  <Characters>9999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Paulina Łochowska</cp:lastModifiedBy>
  <cp:revision>8</cp:revision>
  <dcterms:created xsi:type="dcterms:W3CDTF">2020-12-12T09:34:00Z</dcterms:created>
  <dcterms:modified xsi:type="dcterms:W3CDTF">2024-02-24T14:04:00Z</dcterms:modified>
</cp:coreProperties>
</file>